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~$4.68 vs. cons $4.57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~$10.35B vs. cons $10.14B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segment pretax earnings / ASP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1.28</m:t>
              </m:r>
              <m:r>
                <m:t>B</m:t>
              </m:r>
              <m:r>
                <m:t>s</m:t>
              </m:r>
              <m:r>
                <m:t>e</m:t>
              </m:r>
              <m:r>
                <m:t>g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p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x</m:t>
              </m:r>
              <m:r>
                <m:t>p</m:t>
              </m:r>
              <m:r>
                <m:t>r</m:t>
              </m:r>
              <m:r>
                <m:t>o</m:t>
              </m:r>
              <m:r>
                <m:t>f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S</m:t>
              </m:r>
              <m:r>
                <m:t>P</m:t>
              </m:r>
              <m:r>
                <m:t> </m:t>
              </m:r>
            </m:oMath>
            <w:r>
              <w:t xml:space="preserve">1,110/ton) vs. cons ~</w:t>
            </w:r>
            <m:oMath>
              <m:r>
                <m:t>1.22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S</m:t>
              </m:r>
              <m:r>
                <m:t>P</m:t>
              </m:r>
              <m:r>
                <m:t> </m:t>
              </m:r>
            </m:oMath>
            <w:r>
              <w:t xml:space="preserve">1,090/ton)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EPS/earnings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4.85</m:t>
              </m:r>
              <m:r>
                <m:rPr>
                  <m:sty m:val="p"/>
                </m:rPr>
                <m:t>−</m:t>
              </m:r>
              <m:r>
                <m:t>4.95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shipment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~10%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has rallied ~45% from April lows to ~$247 heading into the print (near the 52-wk high of $271), pricing in a beat-and-raise scenario. Even with an EPS/revenue beat and a modestly better FY2026 shipment/volume outlook, the magnitude of the raise (Q3 guide only slightly above consensus, CapEx/capital-return targets unchanged) is unlikely to be enough to justify further multiple expansion after such a sharp run. Analyst estimate revisions should move up modestly (positive out-period EPS math from higher HRC realizations), but with so much good news already discounted and elevated positioning, profit-taking and 'sell-the-news' dynamics typically dominate over the following days, producing a fade rather than follow-through, similar to prior instances where NUE gave back a portion of pre-print gains after in-line-to-good (but not blow-out) prints.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2026-07-27T00:20:19Z</dcterms:created>
  <dcterms:modified xsi:type="dcterms:W3CDTF">2026-07-27T00:20:19Z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