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8c4c49e4e9f3803e3fa49104fb6c02261c8d14e"/>
    <w:p>
      <w:pPr>
        <w:pStyle w:val="Heading1"/>
      </w:pPr>
      <w:r>
        <w:t xml:space="preserve">Nucor Corporation (NUE) — Q2 2026 Earnings Preview</w:t>
      </w:r>
    </w:p>
    <w:p>
      <w:pPr>
        <w:pStyle w:val="FirstParagraph"/>
      </w:pPr>
      <w:r>
        <w:rPr>
          <w:b/>
          <w:bCs/>
        </w:rPr>
        <w:t xml:space="preserve">Report Date:</w:t>
      </w:r>
      <w:r>
        <w:t xml:space="preserve"> </w:t>
      </w:r>
      <w:r>
        <w:t xml:space="preserve">Monday, July 27,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Nucor enters Monday's report on the back of a blowout Q1 and a stock that has run hard. Shares have rallied from roughly $170 in early April to around $247 as of July 24, within striking distance of the 52-week high near $271, as investors have re-rated the stock around a steel-price upcycle, record shipment volumes, and tariff-driven import displacement. Barclays recently raised its price target to</w:t>
      </w:r>
      <w:r>
        <w:t xml:space="preserve"> </w:t>
      </w:r>
      <w:r>
        <w:t xml:space="preserve">$272 (Overweight), while the broader sell-side consensus rating remains a "Buy," with price targets clustering in the low-$</w:t>
      </w:r>
      <w:r>
        <w:t xml:space="preserve">200s to high-$260s. That run-up raises the bar for tomorrow's results — a "good but not great" quarter could be a sell-the-news event given how much good news is already priced in.</w:t>
      </w:r>
    </w:p>
    <w:p>
      <w:pPr>
        <w:pStyle w:val="BodyText"/>
      </w:pPr>
      <w:r>
        <w:rPr>
          <w:b/>
          <w:bCs/>
        </w:rPr>
        <w:t xml:space="preserve">Consensus expectations:</w:t>
      </w:r>
      <w:r>
        <w:t xml:space="preserve"> </w:t>
      </w:r>
      <w:r>
        <w:t xml:space="preserve">Analysts are looking for EPS of roughly</w:t>
      </w:r>
      <w:r>
        <w:t xml:space="preserve"> </w:t>
      </w:r>
      <m:oMath>
        <m:r>
          <m:t>4.45</m:t>
        </m:r>
        <m:r>
          <m:rPr>
            <m:sty m:val="p"/>
          </m:rPr>
          <m:t>–</m:t>
        </m:r>
      </m:oMath>
      <w:r>
        <w:rPr>
          <w:b/>
          <w:bCs/>
        </w:rPr>
        <w:t xml:space="preserve">4.63</w:t>
      </w:r>
      <w:r>
        <w:t xml:space="preserve"> </w:t>
      </w:r>
      <w:r>
        <w:t xml:space="preserve">(Zacks consensus</w:t>
      </w:r>
      <w:r>
        <w:t xml:space="preserve"> </w:t>
      </w:r>
      <m:oMath>
        <m:r>
          <m:t>4.57</m:t>
        </m:r>
        <m:r>
          <m:rPr>
            <m:sty m:val="p"/>
          </m:rPr>
          <m:t>)</m:t>
        </m:r>
        <m:r>
          <m:t>o</m:t>
        </m:r>
        <m:r>
          <m:t>n</m:t>
        </m:r>
        <m:r>
          <m:t>r</m:t>
        </m:r>
        <m:r>
          <m:t>e</m:t>
        </m:r>
        <m:r>
          <m:t>v</m:t>
        </m:r>
        <m:r>
          <m:t>e</m:t>
        </m:r>
        <m:r>
          <m:t>n</m:t>
        </m:r>
        <m:r>
          <m:t>u</m:t>
        </m:r>
        <m:r>
          <m:t>e</m:t>
        </m:r>
        <m:r>
          <m:t>o</m:t>
        </m:r>
        <m:r>
          <m:t>f</m:t>
        </m:r>
        <m:r>
          <m:t>a</m:t>
        </m:r>
        <m:r>
          <m:t>p</m:t>
        </m:r>
        <m:r>
          <m:t>p</m:t>
        </m:r>
        <m:r>
          <m:t>r</m:t>
        </m:r>
        <m:r>
          <m:t>o</m:t>
        </m:r>
        <m:r>
          <m:t>x</m:t>
        </m:r>
        <m:r>
          <m:t>i</m:t>
        </m:r>
        <m:r>
          <m:t>m</m:t>
        </m:r>
        <m:r>
          <m:t>a</m:t>
        </m:r>
        <m:r>
          <m:t>t</m:t>
        </m:r>
        <m:r>
          <m:t>e</m:t>
        </m:r>
        <m:r>
          <m:t>l</m:t>
        </m:r>
        <m:r>
          <m:t>y</m:t>
        </m:r>
        <m:r>
          <m:rPr>
            <m:sty m:val="p"/>
          </m:rPr>
          <m:t>*</m:t>
        </m:r>
        <m:r>
          <m:rPr>
            <m:sty m:val="p"/>
          </m:rPr>
          <m:t>*</m:t>
        </m:r>
      </m:oMath>
      <w:r>
        <w:t xml:space="preserve">10.14 billion**, which would represent a</w:t>
      </w:r>
      <w:r>
        <w:t xml:space="preserve"> </w:t>
      </w:r>
      <w:r>
        <w:rPr>
          <w:b/>
          <w:bCs/>
        </w:rPr>
        <w:t xml:space="preserve">~76-78% year-over-year increase</w:t>
      </w:r>
      <w:r>
        <w:t xml:space="preserve"> </w:t>
      </w:r>
      <w:r>
        <w:t xml:space="preserve">in EPS versus Q2 2025's</w:t>
      </w:r>
      <w:r>
        <w:t xml:space="preserve"> </w:t>
      </w:r>
      <m:oMath>
        <m:r>
          <m:t>2.60</m:t>
        </m:r>
        <m:r>
          <m:rPr>
            <m:sty m:val="p"/>
          </m:rPr>
          <m:t>.</m:t>
        </m:r>
        <m:r>
          <m:t>N</m:t>
        </m:r>
        <m:r>
          <m:t>u</m:t>
        </m:r>
        <m:r>
          <m:t>c</m:t>
        </m:r>
        <m:r>
          <m:t>o</m:t>
        </m:r>
        <m:sSup>
          <m:e>
            <m:r>
              <m:t>r</m:t>
            </m:r>
          </m:e>
          <m:sup>
            <m:r>
              <m:rPr>
                <m:sty m:val="p"/>
              </m:rPr>
              <m:t>′</m:t>
            </m:r>
          </m:sup>
        </m:sSup>
        <m:r>
          <m:t>s</m:t>
        </m:r>
        <m:r>
          <m:t>o</m:t>
        </m:r>
        <m:r>
          <m:t>w</m:t>
        </m:r>
        <m:r>
          <m:t>n</m:t>
        </m:r>
        <m:r>
          <m:t>g</m:t>
        </m:r>
        <m:r>
          <m:t>u</m:t>
        </m:r>
        <m:r>
          <m:t>i</m:t>
        </m:r>
        <m:r>
          <m:t>d</m:t>
        </m:r>
        <m:r>
          <m:t>a</m:t>
        </m:r>
        <m:r>
          <m:t>n</m:t>
        </m:r>
        <m:r>
          <m:t>c</m:t>
        </m:r>
        <m:r>
          <m:t>e</m:t>
        </m:r>
        <m:r>
          <m:rPr>
            <m:sty m:val="p"/>
          </m:rPr>
          <m:t>,</m:t>
        </m:r>
        <m:r>
          <m:t>u</m:t>
        </m:r>
        <m:r>
          <m:t>p</m:t>
        </m:r>
        <m:r>
          <m:t>d</m:t>
        </m:r>
        <m:r>
          <m:t>a</m:t>
        </m:r>
        <m:r>
          <m:t>t</m:t>
        </m:r>
        <m:r>
          <m:t>e</m:t>
        </m:r>
        <m:r>
          <m:t>d</m:t>
        </m:r>
        <m:r>
          <m:t>i</m:t>
        </m:r>
        <m:r>
          <m:t>n</m:t>
        </m:r>
        <m:r>
          <m:t>t</m:t>
        </m:r>
        <m:r>
          <m:t>r</m:t>
        </m:r>
        <m:r>
          <m:t>a</m:t>
        </m:r>
        <m:r>
          <m:rPr>
            <m:sty m:val="p"/>
          </m:rPr>
          <m:t>−</m:t>
        </m:r>
        <m:r>
          <m:t>q</m:t>
        </m:r>
        <m:r>
          <m:t>u</m:t>
        </m:r>
        <m:r>
          <m:t>a</m:t>
        </m:r>
        <m:r>
          <m:t>r</m:t>
        </m:r>
        <m:r>
          <m:t>t</m:t>
        </m:r>
        <m:r>
          <m:t>e</m:t>
        </m:r>
        <m:r>
          <m:t>r</m:t>
        </m:r>
        <m:r>
          <m:rPr>
            <m:sty m:val="p"/>
          </m:rPr>
          <m:t>,</m:t>
        </m:r>
        <m:r>
          <m:t>p</m:t>
        </m:r>
        <m:r>
          <m:t>o</m:t>
        </m:r>
        <m:r>
          <m:t>i</m:t>
        </m:r>
        <m:r>
          <m:t>n</m:t>
        </m:r>
        <m:r>
          <m:t>t</m:t>
        </m:r>
        <m:r>
          <m:t>e</m:t>
        </m:r>
        <m:r>
          <m:t>d</m:t>
        </m:r>
        <m:r>
          <m:t>t</m:t>
        </m:r>
        <m:r>
          <m:t>o</m:t>
        </m:r>
        <m:r>
          <m:t>a</m:t>
        </m:r>
        <m:r>
          <m:t>d</m:t>
        </m:r>
        <m:r>
          <m:t>j</m:t>
        </m:r>
        <m:r>
          <m:t>u</m:t>
        </m:r>
        <m:r>
          <m:t>s</m:t>
        </m:r>
        <m:r>
          <m:t>t</m:t>
        </m:r>
        <m:r>
          <m:t>e</m:t>
        </m:r>
        <m:r>
          <m:t>d</m:t>
        </m:r>
        <m:r>
          <m:t>E</m:t>
        </m:r>
        <m:r>
          <m:t>P</m:t>
        </m:r>
        <m:r>
          <m:t>S</m:t>
        </m:r>
        <m:r>
          <m:t>i</m:t>
        </m:r>
        <m:r>
          <m:t>n</m:t>
        </m:r>
        <m:r>
          <m:t>t</m:t>
        </m:r>
        <m:r>
          <m:t>h</m:t>
        </m:r>
        <m:r>
          <m:t>e</m:t>
        </m:r>
        <m:r>
          <m:rPr>
            <m:sty m:val="p"/>
          </m:rPr>
          <m:t>*</m:t>
        </m:r>
        <m:r>
          <m:rPr>
            <m:sty m:val="p"/>
          </m:rPr>
          <m:t>*</m:t>
        </m:r>
      </m:oMath>
      <w:r>
        <w:t xml:space="preserve">4.50–$4.60** range.</w:t>
      </w:r>
    </w:p>
    <w:p>
      <w:r>
        <w:pict>
          <v:rect style="width:0;height:1.5pt" o:hralign="center" o:hrstd="t" o:hr="t"/>
        </w:pict>
      </w:r>
    </w:p>
    <w:bookmarkEnd w:id="9"/>
    <w:bookmarkStart w:id="10" w:name="what-happened-last-quarter-q1-2026-recap"/>
    <w:p>
      <w:pPr>
        <w:pStyle w:val="Heading2"/>
      </w:pPr>
      <w:r>
        <w:t xml:space="preserve">What Happened Last Quarter (Q1 2026 Recap)</w:t>
      </w:r>
    </w:p>
    <w:p>
      <w:pPr>
        <w:pStyle w:val="FirstParagraph"/>
      </w:pPr>
      <w:r>
        <w:t xml:space="preserve">Nucor's first quarter was a strong beat and the base for the current setup:</w:t>
      </w:r>
      <w:r>
        <w:t xml:space="preserve"> </w:t>
      </w:r>
      <w:r>
        <w:t xml:space="preserve">Nucor generated EBITDA of approximately $1.5 billion and earned $3.23 per share, an excellent start to the year and a significant increase compared to the fourth quarter, driven by strong performance across all 3 of our operating segments. This was exceeding the midpoint of guidance by nearly $0.50, largely due to higher volumes and higher margin product mix.</w:t>
      </w:r>
    </w:p>
    <w:p>
      <w:pPr>
        <w:pStyle w:val="BodyText"/>
      </w:pPr>
      <w:r>
        <w:t xml:space="preserve">Operationally, the quarter featured records across the board: steel mills achieved 7 million tons of shipments, the highest quarterly shipment volume in Nucor's history, and the steel mills backlog was up to 4.7 million tons, a 20% increase from year-end and the highest level seen since the second quarter of 2021, with the Steel Products backlog up 9% as well.</w:t>
      </w:r>
    </w:p>
    <w:p>
      <w:pPr>
        <w:pStyle w:val="BodyText"/>
      </w:pPr>
      <w:r>
        <w:t xml:space="preserve">Segment detail: Steel Mills pretax earnings of $1.13 billion (more than double Q4), Steel Products at $285 million (+24% Q/Q), and Raw Materials at $45 million. Utilization ran at 86%.</w:t>
      </w:r>
    </w:p>
    <w:p>
      <w:r>
        <w:pict>
          <v:rect style="width:0;height:1.5pt" o:hralign="center" o:hrstd="t" o:hr="t"/>
        </w:pict>
      </w:r>
    </w:p>
    <w:bookmarkEnd w:id="10"/>
    <w:bookmarkStart w:id="11" w:name="q2-guidance-and-what-to-watch-by-segment"/>
    <w:p>
      <w:pPr>
        <w:pStyle w:val="Heading2"/>
      </w:pPr>
      <w:r>
        <w:t xml:space="preserve">Q2 Guidance and What to Watch by Segment</w:t>
      </w:r>
    </w:p>
    <w:p>
      <w:pPr>
        <w:pStyle w:val="FirstParagraph"/>
      </w:pPr>
      <w:r>
        <w:t xml:space="preserve">Management's own framework for the quarter, laid out on the April call, calls for improvement everywhere:</w:t>
      </w:r>
      <w:r>
        <w:t xml:space="preserve"> </w:t>
      </w:r>
      <w:r>
        <w:t xml:space="preserve">We expect higher consolidated earnings with improvement across all 3 operating segments. In steel mills, we expect stable volumes and increasing metal margins. The margin improvement reflects higher realized pricing, partially offset by rising raw material costs. In Steel Products, we expect higher volumes and stable pricing... In raw materials, we expect higher earnings driven primarily by improved realized pricing for DRI. Management also flagged that the earnings uplift across all of our operating segments will be partially offset by higher corporate and intercompany profit eliminations upon consolidation.</w:t>
      </w:r>
    </w:p>
    <w:p>
      <w:pPr>
        <w:pStyle w:val="BodyText"/>
      </w:pPr>
      <w:r>
        <w:rPr>
          <w:b/>
          <w:bCs/>
        </w:rPr>
        <w:t xml:space="preserve">Pricing tailwind is real and visible.</w:t>
      </w:r>
      <w:r>
        <w:t xml:space="preserve"> </w:t>
      </w:r>
      <w:r>
        <w:t xml:space="preserve">Nucor's consumer spot price (CSP) for hot-rolled coil rose steadily through the first half and has held near</w:t>
      </w:r>
      <w:r>
        <w:t xml:space="preserve"> </w:t>
      </w:r>
      <m:oMath>
        <m:r>
          <m:t>1</m:t>
        </m:r>
        <m:r>
          <m:rPr>
            <m:sty m:val="p"/>
          </m:rPr>
          <m:t>,</m:t>
        </m:r>
        <m:r>
          <m:t>130</m:t>
        </m:r>
        <m:r>
          <m:rPr>
            <m:sty m:val="p"/>
          </m:rPr>
          <m:t>–</m:t>
        </m:r>
      </m:oMath>
      <w:r>
        <w:t xml:space="preserve">1,135/ton through July, up meaningfully from the roughly</w:t>
      </w:r>
      <w:r>
        <w:t xml:space="preserve"> </w:t>
      </w:r>
      <m:oMath>
        <m:r>
          <m:t>999</m:t>
        </m:r>
        <m:r>
          <m:rPr>
            <m:sty m:val="p"/>
          </m:rPr>
          <m:t>–</m:t>
        </m:r>
      </m:oMath>
      <w:r>
        <w:t xml:space="preserve">1,013/ton average realized in Q1. That should show up in steel mills' external average selling price, which was already $1,074/ton in Q1 (+14% y/y). Watch for confirmation that the "slow and steady" pricing strategy discussed on the last call — deliberately avoiding the historical boom-bust order-book chase — is holding, and that spread expansion is offsetting scrap cost inflation (scrap/scrap substitute cost was $403/gross ton in Q1, +6% q/q).</w:t>
      </w:r>
    </w:p>
    <w:p>
      <w:pPr>
        <w:pStyle w:val="BodyText"/>
      </w:pPr>
      <w:r>
        <w:rPr>
          <w:b/>
          <w:bCs/>
        </w:rPr>
        <w:t xml:space="preserve">Volume growth trajectory.</w:t>
      </w:r>
      <w:r>
        <w:t xml:space="preserve"> </w:t>
      </w:r>
      <w:r>
        <w:t xml:space="preserve">Management raised its full-year 2026 shipment growth outlook mid-call to potentially approach or exceed 10%, up from the initial "more than 5%" guide, citing record backlogs in structural, rebar, and sheet. Investors should watch whether Q2 volumes confirm this acceleration or whether the pricing catch-up (versus volume) narrative dominates the sequential earnings bridge, as CFO Jack Sullivan indicated lag effects from ~70-80% contract-based sheet business would show pricing catching up to spot trends in Q2.</w:t>
      </w:r>
    </w:p>
    <w:p>
      <w:r>
        <w:pict>
          <v:rect style="width:0;height:1.5pt" o:hralign="center" o:hrstd="t" o:hr="t"/>
        </w:pict>
      </w:r>
    </w:p>
    <w:bookmarkEnd w:id="11"/>
    <w:bookmarkStart w:id="12" w:name="key-themes-for-the-call"/>
    <w:p>
      <w:pPr>
        <w:pStyle w:val="Heading2"/>
      </w:pPr>
      <w:r>
        <w:t xml:space="preserve">Key Themes for the Call</w:t>
      </w:r>
    </w:p>
    <w:p>
      <w:pPr>
        <w:pStyle w:val="FirstParagraph"/>
      </w:pPr>
      <w:r>
        <w:rPr>
          <w:b/>
          <w:bCs/>
        </w:rPr>
        <w:t xml:space="preserve">1. Trade policy remains a central pillar of the bull case.</w:t>
      </w:r>
      <w:r>
        <w:t xml:space="preserve"> </w:t>
      </w:r>
      <w:r>
        <w:t xml:space="preserve">Import share of the U.S. finished steel market declined from over 22% in the first quarter of 2025 to approximately 15% this quarter, and the administration reaffirmed the 50% Section 232 tariff on steel and implemented important changes to how derivative steel products are treated, specifically applying tariffs to the full value of those products, effective April 6, 2026. Watch for commentary on USMCA renegotiation — management flagged unresolved issues around steel subsidies provided by the Canadian government and the use of North American channels as backdoors to our domestic markets as an ongoing risk/opportunity.</w:t>
      </w:r>
    </w:p>
    <w:p>
      <w:pPr>
        <w:pStyle w:val="BodyText"/>
      </w:pPr>
      <w:r>
        <w:rPr>
          <w:b/>
          <w:bCs/>
        </w:rPr>
        <w:t xml:space="preserve">2. West Virginia sheet mill progress.</w:t>
      </w:r>
      <w:r>
        <w:t xml:space="preserve"> </w:t>
      </w:r>
      <w:r>
        <w:t xml:space="preserve">As of the Q1 call, the $4B Apple Grove, WV facility was about 85% complete, with commissioning of the pickle line underway and sequential commissioning of the cold mill, automotive galvanizing line, melt shop, and hot mill planned through the rest of 2026. Commercial ramp is targeted for early 2027, building toward roughly 50% utilization by end of 2027. Expect an update on milestones (cold mill/galv line commissioning) and confirmation that pre-operating and start-up costs — $108 million in Q1 — continue trending higher through the year as previously flagged.</w:t>
      </w:r>
    </w:p>
    <w:p>
      <w:pPr>
        <w:pStyle w:val="BodyText"/>
      </w:pPr>
      <w:r>
        <w:rPr>
          <w:b/>
          <w:bCs/>
        </w:rPr>
        <w:t xml:space="preserve">3. Capital returns and balance sheet.</w:t>
      </w:r>
      <w:r>
        <w:t xml:space="preserve"> </w:t>
      </w:r>
      <w:r>
        <w:t xml:space="preserve">Nucor returned $254 million to shareholders in Q1 (about 34% of net earnings, below its long-standing 40%-of-earnings target, reflecting the magnitude of the earnings beat) and has $3.97 billion remaining under its $4 billion buyback authorization. With CapEx moderating (still guided at $2.5 billion for the full year but past its peak) and free cash flow inflecting positively, watch for commentary on the pace of buybacks and progress toward/above the 40% return target, which management has exceeded in several recent years (averaging closer to 60% over the past five years). The balance sheet remains a strength, with $2.48 billion in cash, an undrawn $2.25 billion revolver, and 24% debt-to-capital.</w:t>
      </w:r>
    </w:p>
    <w:p>
      <w:pPr>
        <w:pStyle w:val="BodyText"/>
      </w:pPr>
      <w:r>
        <w:rPr>
          <w:b/>
          <w:bCs/>
        </w:rPr>
        <w:t xml:space="preserve">4. End-market divergence.</w:t>
      </w:r>
      <w:r>
        <w:t xml:space="preserve"> </w:t>
      </w:r>
      <w:r>
        <w:t xml:space="preserve">Strength is concentrated in data centers, energy, border fence, and non-residential/infrastructure construction, while consumer cyclicals, traditional office, heavy equipment, and agriculture remain soft — a bifurcation likely to persist in Q2 commentary.</w:t>
      </w:r>
    </w:p>
    <w:p>
      <w:r>
        <w:pict>
          <v:rect style="width:0;height:1.5pt" o:hralign="center" o:hrstd="t" o:hr="t"/>
        </w:pict>
      </w:r>
    </w:p>
    <w:bookmarkEnd w:id="12"/>
    <w:bookmarkStart w:id="13" w:name="risks-and-watch-items"/>
    <w:p>
      <w:pPr>
        <w:pStyle w:val="Heading2"/>
      </w:pPr>
      <w:r>
        <w:t xml:space="preserve">Risks and Watch Items</w:t>
      </w:r>
    </w:p>
    <w:p>
      <w:pPr>
        <w:pStyle w:val="Compact"/>
        <w:numPr>
          <w:ilvl w:val="0"/>
          <w:numId w:val="1001"/>
        </w:numPr>
      </w:pPr>
      <w:r>
        <w:rPr>
          <w:b/>
          <w:bCs/>
        </w:rPr>
        <w:t xml:space="preserve">Valuation/expectations risk:</w:t>
      </w:r>
      <w:r>
        <w:t xml:space="preserve"> </w:t>
      </w:r>
      <w:r>
        <w:t xml:space="preserve">With the stock up roughly 45% from its April lows heading into the print, a "beat and raise" may already be substantially discounted; guidance for Q3 will matter as much as the Q2 print itself.</w:t>
      </w:r>
    </w:p>
    <w:p>
      <w:pPr>
        <w:pStyle w:val="Compact"/>
        <w:numPr>
          <w:ilvl w:val="0"/>
          <w:numId w:val="1001"/>
        </w:numPr>
      </w:pPr>
      <w:r>
        <w:rPr>
          <w:b/>
          <w:bCs/>
        </w:rPr>
        <w:t xml:space="preserve">Cost inflation:</w:t>
      </w:r>
      <w:r>
        <w:t xml:space="preserve"> </w:t>
      </w:r>
      <w:r>
        <w:t xml:space="preserve">Rising scrap costs and higher substrate costs have already pressured margins in longer-lead-time Steel Products lines (fabricated rebar, joist &amp; deck); confirmation that pricing catch-up offsets this will be important.</w:t>
      </w:r>
    </w:p>
    <w:p>
      <w:pPr>
        <w:pStyle w:val="Compact"/>
        <w:numPr>
          <w:ilvl w:val="0"/>
          <w:numId w:val="1001"/>
        </w:numPr>
      </w:pPr>
      <w:r>
        <w:rPr>
          <w:b/>
          <w:bCs/>
        </w:rPr>
        <w:t xml:space="preserve">Trade-policy durability:</w:t>
      </w:r>
      <w:r>
        <w:t xml:space="preserve"> </w:t>
      </w:r>
      <w:r>
        <w:t xml:space="preserve">Any softening in tariff enforcement, USMCA outcomes unfavorable to Nucor, or a resurgence in import share (currently near cycle lows at ~15%) would remove a key support for pricing.</w:t>
      </w:r>
    </w:p>
    <w:p>
      <w:pPr>
        <w:pStyle w:val="Compact"/>
        <w:numPr>
          <w:ilvl w:val="0"/>
          <w:numId w:val="1001"/>
        </w:numPr>
      </w:pPr>
      <w:r>
        <w:rPr>
          <w:b/>
          <w:bCs/>
        </w:rPr>
        <w:t xml:space="preserve">West Virginia execution:</w:t>
      </w:r>
      <w:r>
        <w:t xml:space="preserve"> </w:t>
      </w:r>
      <w:r>
        <w:t xml:space="preserve">As pre-operating costs ramp further into 2026, any construction/commissioning delays would be a modest negative, though management has consistently reiterated the project is on time and on budget.</w:t>
      </w:r>
    </w:p>
    <w:p>
      <w:pPr>
        <w:pStyle w:val="Compact"/>
        <w:numPr>
          <w:ilvl w:val="0"/>
          <w:numId w:val="1001"/>
        </w:numPr>
      </w:pPr>
      <w:r>
        <w:rPr>
          <w:b/>
          <w:bCs/>
        </w:rPr>
        <w:t xml:space="preserve">Insider activity:</w:t>
      </w:r>
      <w:r>
        <w:t xml:space="preserve"> </w:t>
      </w:r>
      <w:r>
        <w:t xml:space="preserve">A recent Form 144 filing showed EVP Dan Needham (who announced retirement on the Q1 call after 26 years) filing intent to sell approximately $4.2 million in shares — likely a routine, retirement-related sale rather than a signal, but worth noting alongside the stock's strong run.</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Nucor heads into Q2 earnings with genuine fundamental momentum: record backlogs, rising realized steel prices, shrinking import competition, and a clear line of sight to a step-change in earnings power as growth projects (especially West Virginia) come online in 2027-2028. The setup is constructive, but the stock's sharp rally into the print means the bar for an upside surprise is high, and investors should focus less on whether Nucor beats the current ~$4.50-4.60 consensus and more on the tone of forward guidance — particularly full-year volume growth, pricing sustainability, and any incremental color on trade policy (USMCA) and capital-return cadence.</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2026-07-27T00:20:19Z</dcterms:created>
  <dcterms:modified xsi:type="dcterms:W3CDTF">2026-07-27T00:20:19Z</dcterms:modified>
</cp:coreProperties>
</file>

<file path=docProps/custom.xml><?xml version="1.0" encoding="utf-8"?>
<Properties xmlns="http://schemas.openxmlformats.org/officeDocument/2006/custom-properties" xmlns:vt="http://schemas.openxmlformats.org/officeDocument/2006/docPropsVTypes"/>
</file>