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ue-earnings-predictions--2026-07-27"/>
    <w:p>
      <w:pPr>
        <w:pStyle w:val="Heading1"/>
      </w:pPr>
      <w:r>
        <w:t xml:space="preserve">NUE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~$4.58 vs. cons $4.57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~$10.15B vs. cons $10.07B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Steel Mills average sales price per ton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~$1,205/ton vs. cons $1,183/ton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~$5.15 vs. cons $5.06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expenditures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~$2.50B vs. cons $2.50B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(FOLLOW-THROUGH)</w:t>
            </w:r>
          </w:p>
        </w:tc>
        <w:tc>
          <w:tcPr/>
          <w:p>
            <w:pPr>
              <w:pStyle w:val="Compact"/>
            </w:pPr>
            <w:r>
              <w:t xml:space="preserve">A largely preannounced Q2 limits the initial surprise, but a 2026Q3 EPS outlook of ~$5.15 versus $5.06 consensus would support modest upward revisions. Better lagged-contract pricing and stable scrap costs should more than offset the nonrecurrence of the roughly $130M procurement refund, allowing positive residual returns to extend beyond day 1.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2026-07-27T00:18:51Z</dcterms:created>
  <dcterms:modified xsi:type="dcterms:W3CDTF">2026-07-27T00:18:51Z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