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nucor-nyse-nue--q2-2026-earnings-preview"/>
    <w:p>
      <w:pPr>
        <w:pStyle w:val="Heading1"/>
      </w:pPr>
      <w:r>
        <w:t xml:space="preserve">Nucor (NYSE: NUE) — Q2 2026 Earnings Preview</w:t>
      </w:r>
    </w:p>
    <w:p>
      <w:pPr>
        <w:pStyle w:val="BlockText"/>
      </w:pPr>
      <w:r>
        <w:rPr>
          <w:b/>
          <w:bCs/>
        </w:rPr>
        <w:t xml:space="preserve">Timing clarification:</w:t>
      </w:r>
      <w:r>
        <w:t xml:space="preserve"> </w:t>
      </w:r>
      <w:r>
        <w:t xml:space="preserve">Nucor is scheduled to release Q2 results</w:t>
      </w:r>
      <w:r>
        <w:t xml:space="preserve"> </w:t>
      </w:r>
      <w:r>
        <w:rPr>
          <w:b/>
          <w:bCs/>
        </w:rPr>
        <w:t xml:space="preserve">after the market closes today, Monday, July 27, 2026</w:t>
      </w:r>
      <w:r>
        <w:t xml:space="preserve">. The</w:t>
      </w:r>
      <w:r>
        <w:t xml:space="preserve"> </w:t>
      </w:r>
      <w:r>
        <w:rPr>
          <w:b/>
          <w:bCs/>
        </w:rPr>
        <w:t xml:space="preserve">earnings call is tomorrow, Tuesday, July 28, at 10:00 a.m. ET</w:t>
      </w:r>
      <w:r>
        <w:t xml:space="preserve">. (</w:t>
      </w:r>
      <w:hyperlink r:id="rId9">
        <w:r>
          <w:rPr>
            <w:rStyle w:val="Hyperlink"/>
          </w:rPr>
          <w:t xml:space="preserve">investors.nucor.com</w:t>
        </w:r>
      </w:hyperlink>
      <w:r>
        <w:t xml:space="preserve">)</w:t>
      </w:r>
    </w:p>
    <w:bookmarkStart w:id="11" w:name="investment-view-going-into-the-report"/>
    <w:p>
      <w:pPr>
        <w:pStyle w:val="Heading2"/>
      </w:pPr>
      <w:r>
        <w:t xml:space="preserve">Investment view going into the report</w:t>
      </w:r>
    </w:p>
    <w:p>
      <w:pPr>
        <w:pStyle w:val="FirstParagraph"/>
      </w:pPr>
      <w:r>
        <w:t xml:space="preserve">Nucor has already disclosed enough guidance that the headline quarter should contain relatively little mystery. The company expects</w:t>
      </w:r>
      <w:r>
        <w:t xml:space="preserve"> </w:t>
      </w:r>
      <w:r>
        <w:rPr>
          <w:b/>
          <w:bCs/>
        </w:rPr>
        <w:t xml:space="preserve">adjusted EPS of</w:t>
      </w:r>
      <w:r>
        <w:rPr>
          <w:b/>
          <w:bCs/>
        </w:rPr>
        <w:t xml:space="preserve"> </w:t>
      </w:r>
      <m:oMath>
        <m:r>
          <m:t>4.50</m:t>
        </m:r>
        <m:r>
          <m:rPr>
            <m:sty m:val="p"/>
          </m:rPr>
          <m:t>–</m:t>
        </m:r>
      </m:oMath>
      <w:r>
        <w:rPr>
          <w:b/>
          <w:bCs/>
        </w:rPr>
        <w:t xml:space="preserve">4.60</w:t>
      </w:r>
      <w:r>
        <w:t xml:space="preserve"> </w:t>
      </w:r>
      <w:r>
        <w:t xml:space="preserve">and GAAP EPS of</w:t>
      </w:r>
      <w:r>
        <w:t xml:space="preserve"> </w:t>
      </w:r>
      <m:oMath>
        <m:r>
          <m:t>4.70</m:t>
        </m:r>
        <m:r>
          <m:rPr>
            <m:sty m:val="p"/>
          </m:rPr>
          <m:t>–</m:t>
        </m:r>
      </m:oMath>
      <w:r>
        <w:t xml:space="preserve">4.80, compared with $3.23 in Q1 and</w:t>
      </w:r>
      <w:r>
        <w:t xml:space="preserve"> </w:t>
      </w:r>
      <m:oMath>
        <m:r>
          <m:t>2.60</m:t>
        </m:r>
        <m:r>
          <m:t>a</m:t>
        </m:r>
        <m:r>
          <m:t>y</m:t>
        </m:r>
        <m:r>
          <m:t>e</m:t>
        </m:r>
        <m:r>
          <m:t>a</m:t>
        </m:r>
        <m:r>
          <m:t>r</m:t>
        </m:r>
        <m:r>
          <m:t>a</m:t>
        </m:r>
        <m:r>
          <m:t>g</m:t>
        </m:r>
        <m:r>
          <m:t>o</m:t>
        </m:r>
        <m:r>
          <m:rPr>
            <m:sty m:val="p"/>
          </m:rPr>
          <m:t>.</m:t>
        </m:r>
        <m:r>
          <m:t>P</m:t>
        </m:r>
        <m:r>
          <m:t>u</m:t>
        </m:r>
        <m:r>
          <m:t>b</m:t>
        </m:r>
        <m:r>
          <m:t>l</m:t>
        </m:r>
        <m:r>
          <m:t>i</m:t>
        </m:r>
        <m:r>
          <m:t>s</m:t>
        </m:r>
        <m:r>
          <m:t>h</m:t>
        </m:r>
        <m:r>
          <m:t>e</m:t>
        </m:r>
        <m:r>
          <m:t>d</m:t>
        </m:r>
        <m:r>
          <m:t>c</m:t>
        </m:r>
        <m:r>
          <m:t>o</m:t>
        </m:r>
        <m:r>
          <m:t>n</m:t>
        </m:r>
        <m:r>
          <m:t>s</m:t>
        </m:r>
        <m:r>
          <m:t>e</m:t>
        </m:r>
        <m:r>
          <m:t>n</m:t>
        </m:r>
        <m:r>
          <m:t>s</m:t>
        </m:r>
        <m:r>
          <m:t>u</m:t>
        </m:r>
        <m:r>
          <m:t>s</m:t>
        </m:r>
        <m:r>
          <m:t>e</m:t>
        </m:r>
        <m:r>
          <m:t>s</m:t>
        </m:r>
        <m:r>
          <m:t>t</m:t>
        </m:r>
        <m:r>
          <m:t>i</m:t>
        </m:r>
        <m:r>
          <m:t>m</m:t>
        </m:r>
        <m:r>
          <m:t>a</m:t>
        </m:r>
        <m:r>
          <m:t>t</m:t>
        </m:r>
        <m:r>
          <m:t>e</m:t>
        </m:r>
        <m:r>
          <m:t>s</m:t>
        </m:r>
        <m:r>
          <m:t>v</m:t>
        </m:r>
        <m:r>
          <m:t>a</m:t>
        </m:r>
        <m:r>
          <m:t>r</m:t>
        </m:r>
        <m:r>
          <m:t>y</m:t>
        </m:r>
        <m:r>
          <m:t>b</m:t>
        </m:r>
        <m:r>
          <m:t>y</m:t>
        </m:r>
        <m:r>
          <m:t>p</m:t>
        </m:r>
        <m:r>
          <m:t>r</m:t>
        </m:r>
        <m:r>
          <m:t>o</m:t>
        </m:r>
        <m:r>
          <m:t>v</m:t>
        </m:r>
        <m:r>
          <m:t>i</m:t>
        </m:r>
        <m:r>
          <m:t>d</m:t>
        </m:r>
        <m:r>
          <m:t>e</m:t>
        </m:r>
        <m:r>
          <m:t>r</m:t>
        </m:r>
        <m:r>
          <m:t>b</m:t>
        </m:r>
        <m:r>
          <m:t>u</m:t>
        </m:r>
        <m:r>
          <m:t>t</m:t>
        </m:r>
        <m:r>
          <m:t>g</m:t>
        </m:r>
        <m:r>
          <m:t>e</m:t>
        </m:r>
        <m:r>
          <m:t>n</m:t>
        </m:r>
        <m:r>
          <m:t>e</m:t>
        </m:r>
        <m:r>
          <m:t>r</m:t>
        </m:r>
        <m:r>
          <m:t>a</m:t>
        </m:r>
        <m:r>
          <m:t>l</m:t>
        </m:r>
        <m:r>
          <m:t>l</m:t>
        </m:r>
        <m:r>
          <m:t>y</m:t>
        </m:r>
        <m:r>
          <m:t>s</m:t>
        </m:r>
        <m:r>
          <m:t>i</m:t>
        </m:r>
        <m:r>
          <m:t>t</m:t>
        </m:r>
        <m:r>
          <m:t>a</m:t>
        </m:r>
        <m:r>
          <m:t>r</m:t>
        </m:r>
        <m:r>
          <m:t>o</m:t>
        </m:r>
        <m:r>
          <m:t>u</m:t>
        </m:r>
        <m:r>
          <m:t>n</m:t>
        </m:r>
        <m:r>
          <m:t>d</m:t>
        </m:r>
        <m:r>
          <m:rPr>
            <m:sty m:val="p"/>
          </m:rPr>
          <m:t>*</m:t>
        </m:r>
        <m:r>
          <m:rPr>
            <m:sty m:val="p"/>
          </m:rPr>
          <m:t>*</m:t>
        </m:r>
      </m:oMath>
      <w:r>
        <w:t xml:space="preserve">4.46–</w:t>
      </w:r>
      <m:oMath>
        <m:r>
          <m:t>4.53</m:t>
        </m:r>
        <m:r>
          <m:t>p</m:t>
        </m:r>
        <m:r>
          <m:t>e</m:t>
        </m:r>
        <m:r>
          <m:t>r</m:t>
        </m:r>
        <m:r>
          <m:t>s</m:t>
        </m:r>
        <m:r>
          <m:t>h</m:t>
        </m:r>
        <m:r>
          <m:t>a</m:t>
        </m:r>
        <m:r>
          <m:t>r</m:t>
        </m:r>
        <m:r>
          <m:t>e</m:t>
        </m:r>
        <m:r>
          <m:rPr>
            <m:sty m:val="p"/>
          </m:rPr>
          <m:t>*</m:t>
        </m:r>
        <m:r>
          <m:rPr>
            <m:sty m:val="p"/>
          </m:rPr>
          <m:t>*</m:t>
        </m:r>
        <m:r>
          <m:t>a</m:t>
        </m:r>
        <m:r>
          <m:t>n</m:t>
        </m:r>
        <m:r>
          <m:t>d</m:t>
        </m:r>
        <m:r>
          <m:rPr>
            <m:sty m:val="p"/>
          </m:rPr>
          <m:t>*</m:t>
        </m:r>
        <m:r>
          <m:rPr>
            <m:sty m:val="p"/>
          </m:rPr>
          <m:t>*</m:t>
        </m:r>
      </m:oMath>
      <w:r>
        <w:t xml:space="preserve">10.0–$10.1 billion of revenue**. (</w:t>
      </w:r>
      <w:hyperlink r:id="rId10">
        <w:r>
          <w:rPr>
            <w:rStyle w:val="Hyperlink"/>
          </w:rPr>
          <w:t xml:space="preserve">nucor.com</w:t>
        </w:r>
      </w:hyperlink>
      <w:r>
        <w:t xml:space="preserve">)</w:t>
      </w:r>
    </w:p>
    <w:p>
      <w:pPr>
        <w:pStyle w:val="BodyText"/>
      </w:pPr>
      <w:r>
        <w:t xml:space="preserve">The central question is therefore not whether Q2 improved—it clearly did—but</w:t>
      </w:r>
      <w:r>
        <w:t xml:space="preserve"> </w:t>
      </w:r>
      <w:r>
        <w:rPr>
          <w:b/>
          <w:bCs/>
        </w:rPr>
        <w:t xml:space="preserve">how much of the improvement is sustainable into Q3 and 2027</w:t>
      </w:r>
      <w:r>
        <w:t xml:space="preserve">. Investors should distinguish:</w:t>
      </w:r>
    </w:p>
    <w:p>
      <w:pPr>
        <w:pStyle w:val="Compact"/>
        <w:numPr>
          <w:ilvl w:val="0"/>
          <w:numId w:val="1001"/>
        </w:numPr>
      </w:pPr>
      <w:r>
        <w:t xml:space="preserve">Core margin and volume improvement;</w:t>
      </w:r>
    </w:p>
    <w:p>
      <w:pPr>
        <w:pStyle w:val="Compact"/>
        <w:numPr>
          <w:ilvl w:val="0"/>
          <w:numId w:val="1001"/>
        </w:numPr>
      </w:pPr>
      <w:r>
        <w:t xml:space="preserve">A</w:t>
      </w:r>
      <w:r>
        <w:t xml:space="preserve"> </w:t>
      </w:r>
      <w:r>
        <w:rPr>
          <w:b/>
          <w:bCs/>
        </w:rPr>
        <w:t xml:space="preserve">$130 million raw-material procurement refund</w:t>
      </w:r>
      <w:r>
        <w:t xml:space="preserve"> </w:t>
      </w:r>
      <w:r>
        <w:t xml:space="preserve">included in adjusted earnings;</w:t>
      </w:r>
    </w:p>
    <w:p>
      <w:pPr>
        <w:pStyle w:val="Compact"/>
        <w:numPr>
          <w:ilvl w:val="0"/>
          <w:numId w:val="1001"/>
        </w:numPr>
      </w:pPr>
      <w:r>
        <w:t xml:space="preserve">A separate</w:t>
      </w:r>
      <w:r>
        <w:t xml:space="preserve"> </w:t>
      </w:r>
      <w:r>
        <w:rPr>
          <w:b/>
          <w:bCs/>
        </w:rPr>
        <w:t xml:space="preserve">$61 million Helion valuation gain</w:t>
      </w:r>
      <w:r>
        <w:t xml:space="preserve">, equivalent to $0.20 per share, excluded from adjusted EPS.</w:t>
      </w:r>
    </w:p>
    <w:p>
      <w:pPr>
        <w:pStyle w:val="FirstParagraph"/>
      </w:pPr>
      <w:r>
        <w:t xml:space="preserve">My bias is that the operating setup remains constructive, supported by low imports, strong nonresidential construction and infrastructure demand, and higher realized steel prices. However, the stock’s substantial year-to-date appreciation means a result merely matching the preannouncement may not be enough.</w:t>
      </w:r>
      <w:r>
        <w:t xml:space="preserve"> </w:t>
      </w:r>
      <w:r>
        <w:rPr>
          <w:b/>
          <w:bCs/>
        </w:rPr>
        <w:t xml:space="preserve">Q3 guidance, backlog commentary and underlying earnings quality should drive the reaction.</w:t>
      </w:r>
    </w:p>
    <w:p>
      <w:r>
        <w:pict>
          <v:rect style="width:0;height:1.5pt" o:hralign="center" o:hrstd="t" o:hr="t"/>
        </w:pict>
      </w:r>
    </w:p>
    <w:bookmarkEnd w:id="11"/>
    <w:bookmarkStart w:id="13" w:name="the-numerical-setup"/>
    <w:p>
      <w:pPr>
        <w:pStyle w:val="Heading2"/>
      </w:pPr>
      <w:r>
        <w:t xml:space="preserve">The numerical setup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Comparison</w:t>
            </w:r>
          </w:p>
        </w:tc>
      </w:tr>
      <w:tr>
        <w:tc>
          <w:tcPr/>
          <w:p>
            <w:pPr>
              <w:pStyle w:val="Compact"/>
            </w:pPr>
            <w:r>
              <w:t xml:space="preserve">GAAP diluted EPS</w:t>
            </w:r>
          </w:p>
        </w:tc>
        <w:tc>
          <w:tcPr/>
          <w:p>
            <w:pPr>
              <w:pStyle w:val="Compact"/>
              <w:jc w:val="right"/>
            </w:pPr>
            <m:oMath>
              <m:r>
                <m:t>4.70</m:t>
              </m:r>
              <m:r>
                <m:rPr>
                  <m:sty m:val="p"/>
                </m:rPr>
                <m:t>–</m:t>
              </m:r>
            </m:oMath>
            <w:r>
              <w:rPr>
                <w:b/>
                <w:bCs/>
              </w:rPr>
              <w:t xml:space="preserve">4.80</w:t>
            </w:r>
          </w:p>
        </w:tc>
        <w:tc>
          <w:tcPr/>
          <w:p>
            <w:pPr>
              <w:pStyle w:val="Compact"/>
              <w:jc w:val="right"/>
            </w:pPr>
            <w:r>
              <w:t xml:space="preserve">$3.23 in Q1; $2.60 in Q2 2025</w:t>
            </w:r>
          </w:p>
        </w:tc>
      </w:tr>
      <w:tr>
        <w:tc>
          <w:tcPr/>
          <w:p>
            <w:pPr>
              <w:pStyle w:val="Compact"/>
            </w:pPr>
            <w:r>
              <w:t xml:space="preserve">Adjusted diluted EPS</w:t>
            </w:r>
          </w:p>
        </w:tc>
        <w:tc>
          <w:tcPr/>
          <w:p>
            <w:pPr>
              <w:pStyle w:val="Compact"/>
              <w:jc w:val="right"/>
            </w:pPr>
            <m:oMath>
              <m:r>
                <m:t>4.50</m:t>
              </m:r>
              <m:r>
                <m:rPr>
                  <m:sty m:val="p"/>
                </m:rPr>
                <m:t>–</m:t>
              </m:r>
            </m:oMath>
            <w:r>
              <w:rPr>
                <w:b/>
                <w:bCs/>
              </w:rPr>
              <w:t xml:space="preserve">4.60</w:t>
            </w:r>
          </w:p>
        </w:tc>
        <w:tc>
          <w:tcPr/>
          <w:p>
            <w:pPr>
              <w:pStyle w:val="Compact"/>
              <w:jc w:val="right"/>
            </w:pPr>
            <w:r>
              <w:t xml:space="preserve">Midpoint of $4.55</w:t>
            </w:r>
          </w:p>
        </w:tc>
      </w:tr>
      <w:tr>
        <w:tc>
          <w:tcPr/>
          <w:p>
            <w:pPr>
              <w:pStyle w:val="Compact"/>
            </w:pPr>
            <w:r>
              <w:t xml:space="preserve">Published Street EPS estimates</w:t>
            </w:r>
          </w:p>
        </w:tc>
        <w:tc>
          <w:tcPr/>
          <w:p>
            <w:pPr>
              <w:pStyle w:val="Compact"/>
              <w:jc w:val="right"/>
            </w:pPr>
            <w:r>
              <w:rPr>
                <w:b/>
                <w:bCs/>
              </w:rPr>
              <w:t xml:space="preserve">Approximately</w:t>
            </w:r>
            <w:r>
              <w:rPr>
                <w:b/>
                <w:bCs/>
              </w:rPr>
              <w:t xml:space="preserve"> </w:t>
            </w:r>
            <m:oMath>
              <m:r>
                <m:t>4.46</m:t>
              </m:r>
              <m:r>
                <m:rPr>
                  <m:sty m:val="p"/>
                </m:rPr>
                <m:t>–</m:t>
              </m:r>
            </m:oMath>
            <w:r>
              <w:rPr>
                <w:b/>
                <w:bCs/>
              </w:rPr>
              <w:t xml:space="preserve">4.53</w:t>
            </w:r>
          </w:p>
        </w:tc>
        <w:tc>
          <w:tcPr/>
          <w:p>
            <w:pPr>
              <w:pStyle w:val="Compact"/>
              <w:jc w:val="right"/>
            </w:pPr>
            <w:r>
              <w:t xml:space="preserve">Provider-dependent</w:t>
            </w:r>
          </w:p>
        </w:tc>
      </w:tr>
      <w:tr>
        <w:tc>
          <w:tcPr/>
          <w:p>
            <w:pPr>
              <w:pStyle w:val="Compact"/>
            </w:pPr>
            <w:r>
              <w:t xml:space="preserve">Published Street revenue estimates</w:t>
            </w:r>
          </w:p>
        </w:tc>
        <w:tc>
          <w:tcPr/>
          <w:p>
            <w:pPr>
              <w:pStyle w:val="Compact"/>
              <w:jc w:val="right"/>
            </w:pPr>
            <w:r>
              <w:rPr>
                <w:b/>
                <w:bCs/>
              </w:rPr>
              <w:t xml:space="preserve">Approximately</w:t>
            </w:r>
            <w:r>
              <w:rPr>
                <w:b/>
                <w:bCs/>
              </w:rPr>
              <w:t xml:space="preserve"> </w:t>
            </w:r>
            <m:oMath>
              <m:r>
                <m:t>10.0</m:t>
              </m:r>
              <m:r>
                <m:rPr>
                  <m:sty m:val="p"/>
                </m:rPr>
                <m:t>–</m:t>
              </m:r>
            </m:oMath>
            <w:r>
              <w:rPr>
                <w:b/>
                <w:bCs/>
              </w:rPr>
              <w:t xml:space="preserve">10.1B</w:t>
            </w:r>
          </w:p>
        </w:tc>
        <w:tc>
          <w:tcPr/>
          <w:p>
            <w:pPr>
              <w:pStyle w:val="Compact"/>
              <w:jc w:val="right"/>
            </w:pPr>
            <w:r>
              <w:t xml:space="preserve">$9.50B in Q1</w:t>
            </w:r>
          </w:p>
        </w:tc>
      </w:tr>
      <w:tr>
        <w:tc>
          <w:tcPr/>
          <w:p>
            <w:pPr>
              <w:pStyle w:val="Compact"/>
            </w:pPr>
            <w:r>
              <w:t xml:space="preserve">Helion noncash gain</w:t>
            </w:r>
          </w:p>
        </w:tc>
        <w:tc>
          <w:tcPr/>
          <w:p>
            <w:pPr>
              <w:pStyle w:val="Compact"/>
              <w:jc w:val="right"/>
            </w:pPr>
            <w:r>
              <w:rPr>
                <w:b/>
                <w:bCs/>
              </w:rPr>
              <w:t xml:space="preserve">$61M / $0.20 per share</w:t>
            </w:r>
          </w:p>
        </w:tc>
        <w:tc>
          <w:tcPr/>
          <w:p>
            <w:pPr>
              <w:pStyle w:val="Compact"/>
              <w:jc w:val="right"/>
            </w:pPr>
            <w:r>
              <w:t xml:space="preserve">Excluded from adjusted EPS</w:t>
            </w:r>
          </w:p>
        </w:tc>
      </w:tr>
      <w:tr>
        <w:tc>
          <w:tcPr/>
          <w:p>
            <w:pPr>
              <w:pStyle w:val="Compact"/>
            </w:pPr>
            <w:r>
              <w:t xml:space="preserve">Raw-material refunds</w:t>
            </w:r>
          </w:p>
        </w:tc>
        <w:tc>
          <w:tcPr/>
          <w:p>
            <w:pPr>
              <w:pStyle w:val="Compact"/>
              <w:jc w:val="right"/>
            </w:pPr>
            <w:r>
              <w:rPr>
                <w:b/>
                <w:bCs/>
              </w:rPr>
              <w:t xml:space="preserve">Approximately $130M</w:t>
            </w:r>
          </w:p>
        </w:tc>
        <w:tc>
          <w:tcPr/>
          <w:p>
            <w:pPr>
              <w:pStyle w:val="Compact"/>
              <w:jc w:val="right"/>
            </w:pPr>
            <w:r>
              <w:t xml:space="preserve">Included in steel-mill COGS and adjusted EPS</w:t>
            </w:r>
          </w:p>
        </w:tc>
      </w:tr>
    </w:tbl>
    <w:p>
      <w:pPr>
        <w:pStyle w:val="BodyText"/>
      </w:pPr>
      <w:r>
        <w:t xml:space="preserve">Nucor expects sequential earnings improvement in all three operating segments, led by Steel Mills. Steel Products should benefit from higher volumes and slightly better realized pricing, while Raw Materials should benefit from higher realized prices. (</w:t>
      </w:r>
      <w:hyperlink r:id="rId10">
        <w:r>
          <w:rPr>
            <w:rStyle w:val="Hyperlink"/>
          </w:rPr>
          <w:t xml:space="preserve">nucor.com</w:t>
        </w:r>
      </w:hyperlink>
      <w:r>
        <w:t xml:space="preserve">)</w:t>
      </w:r>
    </w:p>
    <w:bookmarkStart w:id="12" w:name="X31fe194d9328e707d927afe8a07bacd695adb5f"/>
    <w:p>
      <w:pPr>
        <w:pStyle w:val="Heading3"/>
      </w:pPr>
      <w:r>
        <w:t xml:space="preserve">The important earnings-quality adjustment</w:t>
      </w:r>
    </w:p>
    <w:p>
      <w:pPr>
        <w:pStyle w:val="FirstParagraph"/>
      </w:pPr>
      <w:r>
        <w:t xml:space="preserve">Although the company’s adjusted EPS excludes the Helion gain, it</w:t>
      </w:r>
      <w:r>
        <w:t xml:space="preserve"> </w:t>
      </w:r>
      <w:r>
        <w:rPr>
          <w:b/>
          <w:bCs/>
        </w:rPr>
        <w:t xml:space="preserve">does not exclude the</w:t>
      </w:r>
      <w:r>
        <w:rPr>
          <w:b/>
          <w:bCs/>
        </w:rPr>
        <w:t xml:space="preserve"> </w:t>
      </w:r>
      <m:oMath>
        <m:r>
          <m:t>130</m:t>
        </m:r>
        <m:r>
          <m:t>m</m:t>
        </m:r>
        <m:r>
          <m:t>i</m:t>
        </m:r>
        <m:r>
          <m:t>l</m:t>
        </m:r>
        <m:r>
          <m:t>l</m:t>
        </m:r>
        <m:r>
          <m:t>i</m:t>
        </m:r>
        <m:r>
          <m:t>o</m:t>
        </m:r>
        <m:r>
          <m:t>n</m:t>
        </m:r>
        <m:r>
          <m:t>p</m:t>
        </m:r>
        <m:r>
          <m:t>r</m:t>
        </m:r>
        <m:r>
          <m:t>o</m:t>
        </m:r>
        <m:r>
          <m:t>c</m:t>
        </m:r>
        <m:r>
          <m:t>u</m:t>
        </m:r>
        <m:r>
          <m:t>r</m:t>
        </m:r>
        <m:r>
          <m:t>e</m:t>
        </m:r>
        <m:r>
          <m:t>m</m:t>
        </m:r>
        <m:r>
          <m:t>e</m:t>
        </m:r>
        <m:r>
          <m:t>n</m:t>
        </m:r>
        <m:r>
          <m:t>t</m:t>
        </m:r>
        <m:r>
          <m:t>r</m:t>
        </m:r>
        <m:r>
          <m:t>e</m:t>
        </m:r>
        <m:r>
          <m:t>f</m:t>
        </m:r>
        <m:r>
          <m:t>u</m:t>
        </m:r>
        <m:r>
          <m:t>n</m:t>
        </m:r>
        <m:r>
          <m:t>d</m:t>
        </m:r>
        <m:r>
          <m:rPr>
            <m:sty m:val="p"/>
          </m:rPr>
          <m:t>*</m:t>
        </m:r>
        <m:r>
          <m:rPr>
            <m:sty m:val="p"/>
          </m:rPr>
          <m:t>*</m:t>
        </m:r>
        <m:r>
          <m:rPr>
            <m:sty m:val="p"/>
          </m:rPr>
          <m:t>.</m:t>
        </m:r>
        <m:r>
          <m:t>U</m:t>
        </m:r>
        <m:r>
          <m:t>s</m:t>
        </m:r>
        <m:r>
          <m:t>i</m:t>
        </m:r>
        <m:r>
          <m:t>n</m:t>
        </m:r>
        <m:r>
          <m:t>g</m:t>
        </m:r>
        <m:r>
          <m:t>Q</m:t>
        </m:r>
        <m:r>
          <m:t>1</m:t>
        </m:r>
        <m:r>
          <m:rPr>
            <m:sty m:val="p"/>
          </m:rPr>
          <m:t>’</m:t>
        </m:r>
        <m:r>
          <m:t>s</m:t>
        </m:r>
        <m:r>
          <m:t>t</m:t>
        </m:r>
        <m:r>
          <m:t>a</m:t>
        </m:r>
        <m:r>
          <m:t>x</m:t>
        </m:r>
        <m:r>
          <m:t>r</m:t>
        </m:r>
        <m:r>
          <m:t>a</m:t>
        </m:r>
        <m:r>
          <m:t>t</m:t>
        </m:r>
        <m:r>
          <m:t>e</m:t>
        </m:r>
        <m:r>
          <m:t>a</m:t>
        </m:r>
        <m:r>
          <m:t>n</m:t>
        </m:r>
        <m:r>
          <m:t>d</m:t>
        </m:r>
        <m:r>
          <m:t>s</m:t>
        </m:r>
        <m:r>
          <m:t>h</m:t>
        </m:r>
        <m:r>
          <m:t>a</m:t>
        </m:r>
        <m:r>
          <m:t>r</m:t>
        </m:r>
        <m:r>
          <m:t>e</m:t>
        </m:r>
        <m:r>
          <m:t>c</m:t>
        </m:r>
        <m:r>
          <m:t>o</m:t>
        </m:r>
        <m:r>
          <m:t>u</m:t>
        </m:r>
        <m:r>
          <m:t>n</m:t>
        </m:r>
        <m:r>
          <m:t>t</m:t>
        </m:r>
        <m:r>
          <m:t>a</m:t>
        </m:r>
        <m:r>
          <m:t>s</m:t>
        </m:r>
        <m:r>
          <m:t>a</m:t>
        </m:r>
        <m:r>
          <m:t>r</m:t>
        </m:r>
        <m:r>
          <m:t>o</m:t>
        </m:r>
        <m:r>
          <m:t>u</m:t>
        </m:r>
        <m:r>
          <m:t>g</m:t>
        </m:r>
        <m:r>
          <m:t>h</m:t>
        </m:r>
        <m:r>
          <m:t>p</m:t>
        </m:r>
        <m:r>
          <m:t>r</m:t>
        </m:r>
        <m:r>
          <m:t>o</m:t>
        </m:r>
        <m:r>
          <m:t>x</m:t>
        </m:r>
        <m:r>
          <m:t>y</m:t>
        </m:r>
        <m:r>
          <m:rPr>
            <m:sty m:val="p"/>
          </m:rPr>
          <m:t>,</m:t>
        </m:r>
        <m:r>
          <m:t>t</m:t>
        </m:r>
        <m:r>
          <m:t>h</m:t>
        </m:r>
        <m:r>
          <m:t>a</m:t>
        </m:r>
        <m:r>
          <m:t>t</m:t>
        </m:r>
        <m:r>
          <m:t>r</m:t>
        </m:r>
        <m:r>
          <m:t>e</m:t>
        </m:r>
        <m:r>
          <m:t>f</m:t>
        </m:r>
        <m:r>
          <m:t>u</m:t>
        </m:r>
        <m:r>
          <m:t>n</m:t>
        </m:r>
        <m:r>
          <m:t>d</m:t>
        </m:r>
        <m:r>
          <m:t>c</m:t>
        </m:r>
        <m:r>
          <m:t>o</m:t>
        </m:r>
        <m:r>
          <m:t>u</m:t>
        </m:r>
        <m:r>
          <m:t>l</m:t>
        </m:r>
        <m:r>
          <m:t>d</m:t>
        </m:r>
        <m:r>
          <m:t>r</m:t>
        </m:r>
        <m:r>
          <m:t>e</m:t>
        </m:r>
        <m:r>
          <m:t>p</m:t>
        </m:r>
        <m:r>
          <m:t>r</m:t>
        </m:r>
        <m:r>
          <m:t>e</m:t>
        </m:r>
        <m:r>
          <m:t>s</m:t>
        </m:r>
        <m:r>
          <m:t>e</m:t>
        </m:r>
        <m:r>
          <m:t>n</m:t>
        </m:r>
        <m:r>
          <m:t>t</m:t>
        </m:r>
        <m:r>
          <m:t>a</m:t>
        </m:r>
        <m:r>
          <m:t>p</m:t>
        </m:r>
        <m:r>
          <m:t>p</m:t>
        </m:r>
        <m:r>
          <m:t>r</m:t>
        </m:r>
        <m:r>
          <m:t>o</m:t>
        </m:r>
        <m:r>
          <m:t>x</m:t>
        </m:r>
        <m:r>
          <m:t>i</m:t>
        </m:r>
        <m:r>
          <m:t>m</m:t>
        </m:r>
        <m:r>
          <m:t>a</m:t>
        </m:r>
        <m:r>
          <m:t>t</m:t>
        </m:r>
        <m:r>
          <m:t>e</m:t>
        </m:r>
        <m:r>
          <m:t>l</m:t>
        </m:r>
        <m:r>
          <m:t>y</m:t>
        </m:r>
        <m:r>
          <m:rPr>
            <m:sty m:val="p"/>
          </m:rPr>
          <m:t>*</m:t>
        </m:r>
        <m:r>
          <m:rPr>
            <m:sty m:val="p"/>
          </m:rPr>
          <m:t>*</m:t>
        </m:r>
      </m:oMath>
      <w:r>
        <w:rPr>
          <w:b/>
          <w:bCs/>
        </w:rPr>
        <w:t xml:space="preserve">0.40–$0.45 per share after tax</w:t>
      </w:r>
      <w:r>
        <w:t xml:space="preserve">.</w:t>
      </w:r>
    </w:p>
    <w:p>
      <w:pPr>
        <w:pStyle w:val="BodyText"/>
      </w:pPr>
      <w:r>
        <w:t xml:space="preserve">That suggests an investor-defined “cleaner” EPS figure—excluding both the Helion gain and the procurement refund—could be closer to</w:t>
      </w:r>
      <w:r>
        <w:t xml:space="preserve"> </w:t>
      </w:r>
      <m:oMath>
        <m:r>
          <m:t>4.05</m:t>
        </m:r>
        <m:r>
          <m:rPr>
            <m:sty m:val="p"/>
          </m:rPr>
          <m:t>–</m:t>
        </m:r>
      </m:oMath>
      <w:r>
        <w:rPr>
          <w:b/>
          <w:bCs/>
        </w:rPr>
        <w:t xml:space="preserve">4.20</w:t>
      </w:r>
      <w:r>
        <w:t xml:space="preserve">. This is only an estimate, but it is an important lens: a headline EPS beat caused by either item would not necessarily indicate stronger recurring steel economics.</w:t>
      </w:r>
    </w:p>
    <w:p>
      <w:r>
        <w:pict>
          <v:rect style="width:0;height:1.5pt" o:hralign="center" o:hrstd="t" o:hr="t"/>
        </w:pict>
      </w:r>
    </w:p>
    <w:bookmarkEnd w:id="12"/>
    <w:bookmarkEnd w:id="13"/>
    <w:bookmarkStart w:id="20" w:name="what-to-watch-by-segment"/>
    <w:p>
      <w:pPr>
        <w:pStyle w:val="Heading2"/>
      </w:pPr>
      <w:r>
        <w:t xml:space="preserve">What to watch by segment</w:t>
      </w:r>
    </w:p>
    <w:bookmarkStart w:id="16" w:name="Xa270abac2c036d75f1db27d0c87901879d298b5"/>
    <w:p>
      <w:pPr>
        <w:pStyle w:val="Heading3"/>
      </w:pPr>
      <w:r>
        <w:t xml:space="preserve">1. Steel Mills: strong quarter, but Q3 is the real test</w:t>
      </w:r>
    </w:p>
    <w:p>
      <w:pPr>
        <w:pStyle w:val="FirstParagraph"/>
      </w:pPr>
      <w:r>
        <w:t xml:space="preserve">Steel Mills produced $1.13 billion of pretax earnings in Q1, more than double the prior quarter. Q1 steel-mill shipments reached a company record of roughly 7.0 million tons, utilization was 86%, and external realized steel-mill pricing rose 5% sequentially to $1,074 per ton. (</w:t>
      </w:r>
      <w:hyperlink r:id="rId14">
        <w:r>
          <w:rPr>
            <w:rStyle w:val="Hyperlink"/>
          </w:rPr>
          <w:t xml:space="preserve">investors.nucor.com</w:t>
        </w:r>
      </w:hyperlink>
      <w:r>
        <w:t xml:space="preserve">)</w:t>
      </w:r>
    </w:p>
    <w:p>
      <w:pPr>
        <w:pStyle w:val="BodyText"/>
      </w:pPr>
      <w:r>
        <w:t xml:space="preserve">Nucor entered Q2 with a steel-mill backlog of approximately</w:t>
      </w:r>
      <w:r>
        <w:t xml:space="preserve"> </w:t>
      </w:r>
      <w:r>
        <w:rPr>
          <w:b/>
          <w:bCs/>
        </w:rPr>
        <w:t xml:space="preserve">4.7 million tons</w:t>
      </w:r>
      <w:r>
        <w:t xml:space="preserve">, up 20% from year-end and the highest level since Q2 2021. Management attributed the strength to data centers, energy and power infrastructure, manufacturing investment, border-related demand and broader nonresidential construction. (</w:t>
      </w:r>
      <w:hyperlink r:id="rId15">
        <w:r>
          <w:rPr>
            <w:rStyle w:val="Hyperlink"/>
          </w:rPr>
          <w:t xml:space="preserve">fool.com</w:t>
        </w:r>
      </w:hyperlink>
      <w:r>
        <w:t xml:space="preserve">)</w:t>
      </w:r>
    </w:p>
    <w:p>
      <w:pPr>
        <w:pStyle w:val="BodyText"/>
      </w:pPr>
      <w:r>
        <w:t xml:space="preserve">For Q2, investors should focus on:</w:t>
      </w:r>
    </w:p>
    <w:p>
      <w:pPr>
        <w:pStyle w:val="Compact"/>
        <w:numPr>
          <w:ilvl w:val="0"/>
          <w:numId w:val="1002"/>
        </w:numPr>
      </w:pPr>
      <w:r>
        <w:t xml:space="preserve">Average selling-price improvement versus scrap-cost inflation;</w:t>
      </w:r>
    </w:p>
    <w:p>
      <w:pPr>
        <w:pStyle w:val="Compact"/>
        <w:numPr>
          <w:ilvl w:val="0"/>
          <w:numId w:val="1002"/>
        </w:numPr>
      </w:pPr>
      <w:r>
        <w:t xml:space="preserve">Whether volumes remained stable near Q1’s record level;</w:t>
      </w:r>
    </w:p>
    <w:p>
      <w:pPr>
        <w:pStyle w:val="Compact"/>
        <w:numPr>
          <w:ilvl w:val="0"/>
          <w:numId w:val="1002"/>
        </w:numPr>
      </w:pPr>
      <w:r>
        <w:t xml:space="preserve">Sheet and plate profitability, expected to lead the sequential increase;</w:t>
      </w:r>
    </w:p>
    <w:p>
      <w:pPr>
        <w:pStyle w:val="Compact"/>
        <w:numPr>
          <w:ilvl w:val="0"/>
          <w:numId w:val="1002"/>
        </w:numPr>
      </w:pPr>
      <w:r>
        <w:t xml:space="preserve">Utilization and product mix;</w:t>
      </w:r>
    </w:p>
    <w:p>
      <w:pPr>
        <w:pStyle w:val="Compact"/>
        <w:numPr>
          <w:ilvl w:val="0"/>
          <w:numId w:val="1002"/>
        </w:numPr>
      </w:pPr>
      <w:r>
        <w:t xml:space="preserve">Results excluding the $130 million refund.</w:t>
      </w:r>
    </w:p>
    <w:p>
      <w:pPr>
        <w:pStyle w:val="FirstParagraph"/>
      </w:pPr>
      <w:r>
        <w:t xml:space="preserve">The best outcome would be a large increase in Steel Mills earnings</w:t>
      </w:r>
      <w:r>
        <w:t xml:space="preserve"> </w:t>
      </w:r>
      <w:r>
        <w:rPr>
          <w:b/>
          <w:bCs/>
        </w:rPr>
        <w:t xml:space="preserve">even after removing the refund</w:t>
      </w:r>
      <w:r>
        <w:t xml:space="preserve">, demonstrating that pricing and mix—not special benefits—were the primary drivers.</w:t>
      </w:r>
    </w:p>
    <w:bookmarkEnd w:id="16"/>
    <w:bookmarkStart w:id="18" w:name="X52db1bec58271b232c0478acdb3e8f6f7ceda5a"/>
    <w:p>
      <w:pPr>
        <w:pStyle w:val="Heading3"/>
      </w:pPr>
      <w:r>
        <w:t xml:space="preserve">2. Steel Products: backlog is healthy, but margins may lag</w:t>
      </w:r>
    </w:p>
    <w:p>
      <w:pPr>
        <w:pStyle w:val="FirstParagraph"/>
      </w:pPr>
      <w:r>
        <w:t xml:space="preserve">Nucor expects higher Steel Products earnings from greater volumes and slightly higher realized prices. The challenge is that several downstream businesses—especially joist and deck and fabricated rebar—purchase steel before recognizing revenue from longer-dated backlogs. Rising substrate costs can therefore pressure near-term margins before higher selling prices catch up.</w:t>
      </w:r>
    </w:p>
    <w:p>
      <w:pPr>
        <w:pStyle w:val="BodyText"/>
      </w:pPr>
      <w:r>
        <w:t xml:space="preserve">Peer Steel Dynamics offered a constructive read-through: its fabrication backlog was nearly 45% above the prior year and extended into Q1 2027, supported by commercial construction, data centers, manufacturing, warehousing and healthcare. However, higher steel input costs partly offset stronger shipments during Q2. (</w:t>
      </w:r>
      <w:hyperlink r:id="rId17">
        <w:r>
          <w:rPr>
            <w:rStyle w:val="Hyperlink"/>
          </w:rPr>
          <w:t xml:space="preserve">ir.steeldynamics.com</w:t>
        </w:r>
      </w:hyperlink>
      <w:r>
        <w:t xml:space="preserve">)</w:t>
      </w:r>
    </w:p>
    <w:p>
      <w:pPr>
        <w:pStyle w:val="BodyText"/>
      </w:pPr>
      <w:r>
        <w:t xml:space="preserve">Key questions for Nucor:</w:t>
      </w:r>
    </w:p>
    <w:p>
      <w:pPr>
        <w:pStyle w:val="Compact"/>
        <w:numPr>
          <w:ilvl w:val="0"/>
          <w:numId w:val="1003"/>
        </w:numPr>
      </w:pPr>
      <w:r>
        <w:t xml:space="preserve">Are backlog prices now rising faster than input costs?</w:t>
      </w:r>
    </w:p>
    <w:p>
      <w:pPr>
        <w:pStyle w:val="Compact"/>
        <w:numPr>
          <w:ilvl w:val="0"/>
          <w:numId w:val="1003"/>
        </w:numPr>
      </w:pPr>
      <w:r>
        <w:t xml:space="preserve">When will fabricated-product margins begin to expand?</w:t>
      </w:r>
    </w:p>
    <w:p>
      <w:pPr>
        <w:pStyle w:val="Compact"/>
        <w:numPr>
          <w:ilvl w:val="0"/>
          <w:numId w:val="1003"/>
        </w:numPr>
      </w:pPr>
      <w:r>
        <w:t xml:space="preserve">Is data-center demand broad enough to offset softer warehousing or traditional office construction?</w:t>
      </w:r>
    </w:p>
    <w:p>
      <w:pPr>
        <w:pStyle w:val="Compact"/>
        <w:numPr>
          <w:ilvl w:val="0"/>
          <w:numId w:val="1003"/>
        </w:numPr>
      </w:pPr>
      <w:r>
        <w:t xml:space="preserve">Have joist-and-deck lead times extended?</w:t>
      </w:r>
    </w:p>
    <w:bookmarkEnd w:id="18"/>
    <w:bookmarkStart w:id="19" w:name="Xff207fd7e05f8604db2e148f585e88b29602ce8"/>
    <w:p>
      <w:pPr>
        <w:pStyle w:val="Heading3"/>
      </w:pPr>
      <w:r>
        <w:t xml:space="preserve">3. Raw Materials: useful support, but not the thesis</w:t>
      </w:r>
    </w:p>
    <w:p>
      <w:pPr>
        <w:pStyle w:val="FirstParagraph"/>
      </w:pPr>
      <w:r>
        <w:t xml:space="preserve">Raw Materials generated $45 million of pretax earnings in Q1. Nucor expects another sequential increase in Q2 from higher realized pricing.</w:t>
      </w:r>
    </w:p>
    <w:p>
      <w:pPr>
        <w:pStyle w:val="BodyText"/>
      </w:pPr>
      <w:r>
        <w:t xml:space="preserve">The segment matters mainly through its effect on consolidated steelmaking costs. Investors should listen for:</w:t>
      </w:r>
    </w:p>
    <w:p>
      <w:pPr>
        <w:pStyle w:val="Compact"/>
        <w:numPr>
          <w:ilvl w:val="0"/>
          <w:numId w:val="1004"/>
        </w:numPr>
      </w:pPr>
      <w:r>
        <w:t xml:space="preserve">DRI production and pricing;</w:t>
      </w:r>
    </w:p>
    <w:p>
      <w:pPr>
        <w:pStyle w:val="Compact"/>
        <w:numPr>
          <w:ilvl w:val="0"/>
          <w:numId w:val="1004"/>
        </w:numPr>
      </w:pPr>
      <w:r>
        <w:t xml:space="preserve">Prime scrap availability;</w:t>
      </w:r>
    </w:p>
    <w:p>
      <w:pPr>
        <w:pStyle w:val="Compact"/>
        <w:numPr>
          <w:ilvl w:val="0"/>
          <w:numId w:val="1004"/>
        </w:numPr>
      </w:pPr>
      <w:r>
        <w:t xml:space="preserve">Scrap-versus-hot-rolled-coil spread expectations;</w:t>
      </w:r>
    </w:p>
    <w:p>
      <w:pPr>
        <w:pStyle w:val="Compact"/>
        <w:numPr>
          <w:ilvl w:val="0"/>
          <w:numId w:val="1004"/>
        </w:numPr>
      </w:pPr>
      <w:r>
        <w:t xml:space="preserve">Energy and natural-gas costs;</w:t>
      </w:r>
    </w:p>
    <w:p>
      <w:pPr>
        <w:pStyle w:val="Compact"/>
        <w:numPr>
          <w:ilvl w:val="0"/>
          <w:numId w:val="1004"/>
        </w:numPr>
      </w:pPr>
      <w:r>
        <w:t xml:space="preserve">Whether management expects raw-material costs to remain stable in Q3.</w:t>
      </w:r>
    </w:p>
    <w:p>
      <w:pPr>
        <w:pStyle w:val="FirstParagraph"/>
      </w:pPr>
      <w:r>
        <w:t xml:space="preserve">Steel Dynamics reported that its Q2 average steel selling price rose $105 per ton sequentially while scrap cost increased only $16, supporting significant spread expansion. That is a favorable industry read-through for Nucor. (</w:t>
      </w:r>
      <w:hyperlink r:id="rId17">
        <w:r>
          <w:rPr>
            <w:rStyle w:val="Hyperlink"/>
          </w:rPr>
          <w:t xml:space="preserve">ir.steeldynamics.com</w:t>
        </w:r>
      </w:hyperlink>
      <w:r>
        <w:t xml:space="preserve">)</w:t>
      </w:r>
    </w:p>
    <w:p>
      <w:r>
        <w:pict>
          <v:rect style="width:0;height:1.5pt" o:hralign="center" o:hrstd="t" o:hr="t"/>
        </w:pict>
      </w:r>
    </w:p>
    <w:bookmarkEnd w:id="19"/>
    <w:bookmarkEnd w:id="20"/>
    <w:bookmarkStart w:id="23" w:name="Xc343d6aa4ed26573e903d3f7c965ef215e1768e"/>
    <w:p>
      <w:pPr>
        <w:pStyle w:val="Heading2"/>
      </w:pPr>
      <w:r>
        <w:t xml:space="preserve">Q3 guidance will determine the quality of the report</w:t>
      </w:r>
    </w:p>
    <w:p>
      <w:pPr>
        <w:pStyle w:val="FirstParagraph"/>
      </w:pPr>
      <w:r>
        <w:t xml:space="preserve">The most important issue is whether recurring earnings can hold up after the procurement refund disappears.</w:t>
      </w:r>
    </w:p>
    <w:bookmarkStart w:id="21" w:name="constructive-factors"/>
    <w:p>
      <w:pPr>
        <w:pStyle w:val="Heading3"/>
      </w:pPr>
      <w:r>
        <w:t xml:space="preserve">Constructive factors</w:t>
      </w:r>
    </w:p>
    <w:p>
      <w:pPr>
        <w:pStyle w:val="Compact"/>
        <w:numPr>
          <w:ilvl w:val="0"/>
          <w:numId w:val="1005"/>
        </w:numPr>
      </w:pPr>
      <w:r>
        <w:t xml:space="preserve">Higher steel prices should continue flowing through lagged contracts.</w:t>
      </w:r>
    </w:p>
    <w:p>
      <w:pPr>
        <w:pStyle w:val="Compact"/>
        <w:numPr>
          <w:ilvl w:val="0"/>
          <w:numId w:val="1005"/>
        </w:numPr>
      </w:pPr>
      <w:r>
        <w:t xml:space="preserve">Q1 backlogs were historically strong.</w:t>
      </w:r>
    </w:p>
    <w:p>
      <w:pPr>
        <w:pStyle w:val="Compact"/>
        <w:numPr>
          <w:ilvl w:val="0"/>
          <w:numId w:val="1005"/>
        </w:numPr>
      </w:pPr>
      <w:r>
        <w:t xml:space="preserve">Domestic steel inventories have remained relatively lean.</w:t>
      </w:r>
    </w:p>
    <w:p>
      <w:pPr>
        <w:pStyle w:val="Compact"/>
        <w:numPr>
          <w:ilvl w:val="0"/>
          <w:numId w:val="1005"/>
        </w:numPr>
      </w:pPr>
      <w:r>
        <w:t xml:space="preserve">Data-center, energy, power-transmission, infrastructure and reshoring projects remain important demand sources.</w:t>
      </w:r>
    </w:p>
    <w:p>
      <w:pPr>
        <w:pStyle w:val="Compact"/>
        <w:numPr>
          <w:ilvl w:val="0"/>
          <w:numId w:val="1005"/>
        </w:numPr>
      </w:pPr>
      <w:r>
        <w:t xml:space="preserve">Peer results showed record steel shipments and wider metal spreads during Q2. (</w:t>
      </w:r>
      <w:hyperlink r:id="rId17">
        <w:r>
          <w:rPr>
            <w:rStyle w:val="Hyperlink"/>
          </w:rPr>
          <w:t xml:space="preserve">ir.steeldynamics.com</w:t>
        </w:r>
      </w:hyperlink>
      <w:r>
        <w:t xml:space="preserve">)</w:t>
      </w:r>
    </w:p>
    <w:bookmarkEnd w:id="21"/>
    <w:bookmarkStart w:id="22" w:name="potential-offsets"/>
    <w:p>
      <w:pPr>
        <w:pStyle w:val="Heading3"/>
      </w:pPr>
      <w:r>
        <w:t xml:space="preserve">Potential offsets</w:t>
      </w:r>
    </w:p>
    <w:p>
      <w:pPr>
        <w:pStyle w:val="Compact"/>
        <w:numPr>
          <w:ilvl w:val="0"/>
          <w:numId w:val="1006"/>
        </w:numPr>
      </w:pPr>
      <w:r>
        <w:t xml:space="preserve">The $130 million refund will not recur.</w:t>
      </w:r>
    </w:p>
    <w:p>
      <w:pPr>
        <w:pStyle w:val="Compact"/>
        <w:numPr>
          <w:ilvl w:val="0"/>
          <w:numId w:val="1006"/>
        </w:numPr>
      </w:pPr>
      <w:r>
        <w:t xml:space="preserve">Seasonal shipment patterns may soften later in the year.</w:t>
      </w:r>
    </w:p>
    <w:p>
      <w:pPr>
        <w:pStyle w:val="Compact"/>
        <w:numPr>
          <w:ilvl w:val="0"/>
          <w:numId w:val="1006"/>
        </w:numPr>
      </w:pPr>
      <w:r>
        <w:t xml:space="preserve">Higher steel input costs can temporarily compress downstream margins.</w:t>
      </w:r>
    </w:p>
    <w:p>
      <w:pPr>
        <w:pStyle w:val="Compact"/>
        <w:numPr>
          <w:ilvl w:val="0"/>
          <w:numId w:val="1006"/>
        </w:numPr>
      </w:pPr>
      <w:r>
        <w:t xml:space="preserve">Strong domestic pricing could attract additional imports despite tariffs.</w:t>
      </w:r>
    </w:p>
    <w:p>
      <w:pPr>
        <w:pStyle w:val="Compact"/>
        <w:numPr>
          <w:ilvl w:val="0"/>
          <w:numId w:val="1006"/>
        </w:numPr>
      </w:pPr>
      <w:r>
        <w:t xml:space="preserve">Pre-operating and start-up expenses should rise as the West Virginia sheet mill moves deeper into commissioning.</w:t>
      </w:r>
    </w:p>
    <w:p>
      <w:pPr>
        <w:pStyle w:val="Compact"/>
        <w:numPr>
          <w:ilvl w:val="0"/>
          <w:numId w:val="1006"/>
        </w:numPr>
      </w:pPr>
      <w:r>
        <w:t xml:space="preserve">Consumer cyclicals, traditional office construction, heavy equipment and agriculture have been softer than data centers and infrastructure.</w:t>
      </w:r>
    </w:p>
    <w:p>
      <w:pPr>
        <w:pStyle w:val="FirstParagraph"/>
      </w:pPr>
      <w:r>
        <w:t xml:space="preserve">A sequential decline in reported Q3 EPS would not automatically be negative. The better comparison is:</w:t>
      </w:r>
    </w:p>
    <w:p>
      <w:pPr>
        <w:pStyle w:val="BlockText"/>
      </w:pPr>
      <w:r>
        <w:rPr>
          <w:b/>
          <w:bCs/>
        </w:rPr>
        <w:t xml:space="preserve">Q3 recurring earnings versus Q2 earnings excluding the procurement refund and Helion gain.</w:t>
      </w:r>
    </w:p>
    <w:p>
      <w:pPr>
        <w:pStyle w:val="FirstParagraph"/>
      </w:pPr>
      <w:r>
        <w:t xml:space="preserve">If management indicates that Q3 can approach or exceed that cleaner Q2 base, the market should view the earnings trajectory favorably.</w:t>
      </w:r>
    </w:p>
    <w:p>
      <w:r>
        <w:pict>
          <v:rect style="width:0;height:1.5pt" o:hralign="center" o:hrstd="t" o:hr="t"/>
        </w:pict>
      </w:r>
    </w:p>
    <w:bookmarkEnd w:id="22"/>
    <w:bookmarkEnd w:id="23"/>
    <w:bookmarkStart w:id="24" w:name="Xfd5c297e309827889959b7ba8bb1bc11eb7c3fe"/>
    <w:p>
      <w:pPr>
        <w:pStyle w:val="Heading2"/>
      </w:pPr>
      <w:r>
        <w:t xml:space="preserve">West Virginia and the capital-spending inflection</w:t>
      </w:r>
    </w:p>
    <w:p>
      <w:pPr>
        <w:pStyle w:val="FirstParagraph"/>
      </w:pPr>
      <w:r>
        <w:t xml:space="preserve">Nucor’s new West Virginia sheet mill remains the largest strategic swing factor. At the Q1 call, management said construction was approximately 85% complete, with equipment commissioning scheduled throughout 2026. Commercial shipments are expected to begin ramping in early 2027, with utilization potentially approaching 50% by the end of 2027, subject to market conditions. (</w:t>
      </w:r>
      <w:hyperlink r:id="rId15">
        <w:r>
          <w:rPr>
            <w:rStyle w:val="Hyperlink"/>
          </w:rPr>
          <w:t xml:space="preserve">fool.com</w:t>
        </w:r>
      </w:hyperlink>
      <w:r>
        <w:t xml:space="preserve">)</w:t>
      </w:r>
    </w:p>
    <w:p>
      <w:pPr>
        <w:pStyle w:val="BodyText"/>
      </w:pPr>
      <w:r>
        <w:t xml:space="preserve">The bull case is that:</w:t>
      </w:r>
    </w:p>
    <w:p>
      <w:pPr>
        <w:pStyle w:val="Compact"/>
        <w:numPr>
          <w:ilvl w:val="0"/>
          <w:numId w:val="1007"/>
        </w:numPr>
      </w:pPr>
      <w:r>
        <w:t xml:space="preserve">Major project spending begins falling;</w:t>
      </w:r>
    </w:p>
    <w:p>
      <w:pPr>
        <w:pStyle w:val="Compact"/>
        <w:numPr>
          <w:ilvl w:val="0"/>
          <w:numId w:val="1007"/>
        </w:numPr>
      </w:pPr>
      <w:r>
        <w:t xml:space="preserve">Operating cash flow rises with steel earnings;</w:t>
      </w:r>
    </w:p>
    <w:p>
      <w:pPr>
        <w:pStyle w:val="Compact"/>
        <w:numPr>
          <w:ilvl w:val="0"/>
          <w:numId w:val="1007"/>
        </w:numPr>
      </w:pPr>
      <w:r>
        <w:t xml:space="preserve">Recently completed investments contribute more profit;</w:t>
      </w:r>
    </w:p>
    <w:p>
      <w:pPr>
        <w:pStyle w:val="Compact"/>
        <w:numPr>
          <w:ilvl w:val="0"/>
          <w:numId w:val="1007"/>
        </w:numPr>
      </w:pPr>
      <w:r>
        <w:t xml:space="preserve">West Virginia adds differentiated automotive and advanced-sheet capabilities beginning in 2027.</w:t>
      </w:r>
    </w:p>
    <w:p>
      <w:pPr>
        <w:pStyle w:val="FirstParagraph"/>
      </w:pPr>
      <w:r>
        <w:t xml:space="preserve">The risk is that the mill initially creates</w:t>
      </w:r>
      <w:r>
        <w:t xml:space="preserve"> </w:t>
      </w:r>
      <w:r>
        <w:rPr>
          <w:b/>
          <w:bCs/>
        </w:rPr>
        <w:t xml:space="preserve">higher start-up costs, depreciation and working-capital requirements</w:t>
      </w:r>
      <w:r>
        <w:t xml:space="preserve"> </w:t>
      </w:r>
      <w:r>
        <w:t xml:space="preserve">before generating meaningful earnings.</w:t>
      </w:r>
    </w:p>
    <w:p>
      <w:pPr>
        <w:pStyle w:val="BodyText"/>
      </w:pPr>
      <w:r>
        <w:t xml:space="preserve">Investors should look for updates on:</w:t>
      </w:r>
    </w:p>
    <w:p>
      <w:pPr>
        <w:pStyle w:val="Compact"/>
        <w:numPr>
          <w:ilvl w:val="0"/>
          <w:numId w:val="1008"/>
        </w:numPr>
      </w:pPr>
      <w:r>
        <w:t xml:space="preserve">Whether construction and commissioning remain on schedule;</w:t>
      </w:r>
    </w:p>
    <w:p>
      <w:pPr>
        <w:pStyle w:val="Compact"/>
        <w:numPr>
          <w:ilvl w:val="0"/>
          <w:numId w:val="1008"/>
        </w:numPr>
      </w:pPr>
      <w:r>
        <w:t xml:space="preserve">Revised total project cost;</w:t>
      </w:r>
    </w:p>
    <w:p>
      <w:pPr>
        <w:pStyle w:val="Compact"/>
        <w:numPr>
          <w:ilvl w:val="0"/>
          <w:numId w:val="1008"/>
        </w:numPr>
      </w:pPr>
      <w:r>
        <w:t xml:space="preserve">Customer qualifications;</w:t>
      </w:r>
    </w:p>
    <w:p>
      <w:pPr>
        <w:pStyle w:val="Compact"/>
        <w:numPr>
          <w:ilvl w:val="0"/>
          <w:numId w:val="1008"/>
        </w:numPr>
      </w:pPr>
      <w:r>
        <w:t xml:space="preserve">The expected 2027 shipment ramp;</w:t>
      </w:r>
    </w:p>
    <w:p>
      <w:pPr>
        <w:pStyle w:val="Compact"/>
        <w:numPr>
          <w:ilvl w:val="0"/>
          <w:numId w:val="1008"/>
        </w:numPr>
      </w:pPr>
      <w:r>
        <w:t xml:space="preserve">2026 capital spending, previously estimated around $2.5 billion;</w:t>
      </w:r>
    </w:p>
    <w:p>
      <w:pPr>
        <w:pStyle w:val="Compact"/>
        <w:numPr>
          <w:ilvl w:val="0"/>
          <w:numId w:val="1008"/>
        </w:numPr>
      </w:pPr>
      <w:r>
        <w:t xml:space="preserve">Pre-operating and start-up costs in Q3 and Q4.</w:t>
      </w:r>
    </w:p>
    <w:p>
      <w:r>
        <w:pict>
          <v:rect style="width:0;height:1.5pt" o:hralign="center" o:hrstd="t" o:hr="t"/>
        </w:pict>
      </w:r>
    </w:p>
    <w:bookmarkEnd w:id="24"/>
    <w:bookmarkStart w:id="25" w:name="capital-returns"/>
    <w:p>
      <w:pPr>
        <w:pStyle w:val="Heading2"/>
      </w:pPr>
      <w:r>
        <w:t xml:space="preserve">Capital returns</w:t>
      </w:r>
    </w:p>
    <w:p>
      <w:pPr>
        <w:pStyle w:val="FirstParagraph"/>
      </w:pPr>
      <w:r>
        <w:t xml:space="preserve">As of June 17, Nucor had repurchased approximately</w:t>
      </w:r>
      <w:r>
        <w:t xml:space="preserve"> </w:t>
      </w:r>
      <w:r>
        <w:rPr>
          <w:b/>
          <w:bCs/>
        </w:rPr>
        <w:t xml:space="preserve">1.12 million shares in Q2 at an average price of</w:t>
      </w:r>
      <w:r>
        <w:rPr>
          <w:b/>
          <w:bCs/>
        </w:rPr>
        <w:t xml:space="preserve"> </w:t>
      </w:r>
      <m:oMath>
        <m:r>
          <m:t>223.47</m:t>
        </m:r>
        <m:r>
          <m:rPr>
            <m:sty m:val="p"/>
          </m:rPr>
          <m:t>*</m:t>
        </m:r>
        <m:r>
          <m:rPr>
            <m:sty m:val="p"/>
          </m:rPr>
          <m:t>*</m:t>
        </m:r>
        <m:r>
          <m:rPr>
            <m:sty m:val="p"/>
          </m:rPr>
          <m:t>,</m:t>
        </m:r>
        <m:r>
          <m:t>b</m:t>
        </m:r>
        <m:r>
          <m:t>r</m:t>
        </m:r>
        <m:r>
          <m:t>i</m:t>
        </m:r>
        <m:r>
          <m:t>n</m:t>
        </m:r>
        <m:r>
          <m:t>g</m:t>
        </m:r>
        <m:r>
          <m:t>i</m:t>
        </m:r>
        <m:r>
          <m:t>n</m:t>
        </m:r>
        <m:r>
          <m:t>g</m:t>
        </m:r>
        <m:r>
          <m:t>y</m:t>
        </m:r>
        <m:r>
          <m:t>e</m:t>
        </m:r>
        <m:r>
          <m:t>a</m:t>
        </m:r>
        <m:r>
          <m:t>r</m:t>
        </m:r>
        <m:r>
          <m:rPr>
            <m:sty m:val="p"/>
          </m:rPr>
          <m:t>−</m:t>
        </m:r>
        <m:r>
          <m:t>t</m:t>
        </m:r>
        <m:r>
          <m:t>o</m:t>
        </m:r>
        <m:r>
          <m:rPr>
            <m:sty m:val="p"/>
          </m:rPr>
          <m:t>−</m:t>
        </m:r>
        <m:r>
          <m:t>d</m:t>
        </m:r>
        <m:r>
          <m:t>a</m:t>
        </m:r>
        <m:r>
          <m:t>t</m:t>
        </m:r>
        <m:r>
          <m:t>e</m:t>
        </m:r>
        <m:r>
          <m:t>d</m:t>
        </m:r>
        <m:r>
          <m:t>i</m:t>
        </m:r>
        <m:r>
          <m:t>v</m:t>
        </m:r>
        <m:r>
          <m:t>i</m:t>
        </m:r>
        <m:r>
          <m:t>d</m:t>
        </m:r>
        <m:r>
          <m:t>e</m:t>
        </m:r>
        <m:r>
          <m:t>n</m:t>
        </m:r>
        <m:r>
          <m:t>d</m:t>
        </m:r>
        <m:r>
          <m:t>s</m:t>
        </m:r>
        <m:r>
          <m:t>a</m:t>
        </m:r>
        <m:r>
          <m:t>n</m:t>
        </m:r>
        <m:r>
          <m:t>d</m:t>
        </m:r>
        <m:r>
          <m:t>r</m:t>
        </m:r>
        <m:r>
          <m:t>e</m:t>
        </m:r>
        <m:r>
          <m:t>p</m:t>
        </m:r>
        <m:r>
          <m:t>u</m:t>
        </m:r>
        <m:r>
          <m:t>r</m:t>
        </m:r>
        <m:r>
          <m:t>c</m:t>
        </m:r>
        <m:r>
          <m:t>h</m:t>
        </m:r>
        <m:r>
          <m:t>a</m:t>
        </m:r>
        <m:r>
          <m:t>s</m:t>
        </m:r>
        <m:r>
          <m:t>e</m:t>
        </m:r>
        <m:r>
          <m:t>s</m:t>
        </m:r>
        <m:r>
          <m:t>t</m:t>
        </m:r>
        <m:r>
          <m:t>o</m:t>
        </m:r>
        <m:r>
          <m:t>a</m:t>
        </m:r>
        <m:r>
          <m:t>p</m:t>
        </m:r>
        <m:r>
          <m:t>p</m:t>
        </m:r>
        <m:r>
          <m:t>r</m:t>
        </m:r>
        <m:r>
          <m:t>o</m:t>
        </m:r>
        <m:r>
          <m:t>x</m:t>
        </m:r>
        <m:r>
          <m:t>i</m:t>
        </m:r>
        <m:r>
          <m:t>m</m:t>
        </m:r>
        <m:r>
          <m:t>a</m:t>
        </m:r>
        <m:r>
          <m:t>t</m:t>
        </m:r>
        <m:r>
          <m:t>e</m:t>
        </m:r>
        <m:r>
          <m:t>l</m:t>
        </m:r>
        <m:r>
          <m:t>y</m:t>
        </m:r>
        <m:r>
          <m:rPr>
            <m:sty m:val="p"/>
          </m:rPr>
          <m:t>*</m:t>
        </m:r>
        <m:r>
          <m:rPr>
            <m:sty m:val="p"/>
          </m:rPr>
          <m:t>*</m:t>
        </m:r>
      </m:oMath>
      <w:r>
        <w:rPr>
          <w:b/>
          <w:bCs/>
        </w:rPr>
        <w:t xml:space="preserve">630 million</w:t>
      </w:r>
      <w:r>
        <w:t xml:space="preserve">. The company entered the year with a newly authorized $4 billion repurchase program. (</w:t>
      </w:r>
      <w:hyperlink r:id="rId10">
        <w:r>
          <w:rPr>
            <w:rStyle w:val="Hyperlink"/>
          </w:rPr>
          <w:t xml:space="preserve">nucor.com</w:t>
        </w:r>
      </w:hyperlink>
      <w:r>
        <w:t xml:space="preserve">)</w:t>
      </w:r>
    </w:p>
    <w:p>
      <w:pPr>
        <w:pStyle w:val="BodyText"/>
      </w:pPr>
      <w:r>
        <w:t xml:space="preserve">The report should show whether buybacks continued after June 17. That matters because:</w:t>
      </w:r>
    </w:p>
    <w:p>
      <w:pPr>
        <w:pStyle w:val="Compact"/>
        <w:numPr>
          <w:ilvl w:val="0"/>
          <w:numId w:val="1009"/>
        </w:numPr>
      </w:pPr>
      <w:r>
        <w:t xml:space="preserve">Free cash flow should improve as earnings rise and major-project spending eventually moderates;</w:t>
      </w:r>
    </w:p>
    <w:p>
      <w:pPr>
        <w:pStyle w:val="Compact"/>
        <w:numPr>
          <w:ilvl w:val="0"/>
          <w:numId w:val="1009"/>
        </w:numPr>
      </w:pPr>
      <w:r>
        <w:t xml:space="preserve">Nucor targets returning at least 40% of annual net earnings;</w:t>
      </w:r>
    </w:p>
    <w:p>
      <w:pPr>
        <w:pStyle w:val="Compact"/>
        <w:numPr>
          <w:ilvl w:val="0"/>
          <w:numId w:val="1009"/>
        </w:numPr>
      </w:pPr>
      <w:r>
        <w:t xml:space="preserve">The stock traded materially above the company’s disclosed Q2 repurchase price by late July.</w:t>
      </w:r>
    </w:p>
    <w:p>
      <w:pPr>
        <w:pStyle w:val="FirstParagraph"/>
      </w:pPr>
      <w:r>
        <w:t xml:space="preserve">A slower repurchase pace would not necessarily be bearish if driven by West Virginia spending or working capital, but management should explain its capital-allocation priorities.</w:t>
      </w:r>
    </w:p>
    <w:p>
      <w:r>
        <w:pict>
          <v:rect style="width:0;height:1.5pt" o:hralign="center" o:hrstd="t" o:hr="t"/>
        </w:pict>
      </w:r>
    </w:p>
    <w:bookmarkEnd w:id="25"/>
    <w:bookmarkStart w:id="29" w:name="bull-base-and-bear-cases"/>
    <w:p>
      <w:pPr>
        <w:pStyle w:val="Heading2"/>
      </w:pPr>
      <w:r>
        <w:t xml:space="preserve">Bull, base and bear cases</w:t>
      </w:r>
    </w:p>
    <w:bookmarkStart w:id="26" w:name="bull-case"/>
    <w:p>
      <w:pPr>
        <w:pStyle w:val="Heading3"/>
      </w:pPr>
      <w:r>
        <w:t xml:space="preserve">Bull case</w:t>
      </w:r>
    </w:p>
    <w:p>
      <w:pPr>
        <w:pStyle w:val="Compact"/>
        <w:numPr>
          <w:ilvl w:val="0"/>
          <w:numId w:val="1010"/>
        </w:numPr>
      </w:pPr>
      <w:r>
        <w:t xml:space="preserve">Adjusted EPS reaches or exceeds the top of the</w:t>
      </w:r>
      <w:r>
        <w:t xml:space="preserve"> </w:t>
      </w:r>
      <m:oMath>
        <m:r>
          <m:t>4.50</m:t>
        </m:r>
        <m:r>
          <m:rPr>
            <m:sty m:val="p"/>
          </m:rPr>
          <m:t>–</m:t>
        </m:r>
      </m:oMath>
      <w:r>
        <w:t xml:space="preserve">4.60 range.</w:t>
      </w:r>
    </w:p>
    <w:p>
      <w:pPr>
        <w:pStyle w:val="Compact"/>
        <w:numPr>
          <w:ilvl w:val="0"/>
          <w:numId w:val="1010"/>
        </w:numPr>
      </w:pPr>
      <w:r>
        <w:t xml:space="preserve">Steel Mills materially outperform even excluding the refund.</w:t>
      </w:r>
    </w:p>
    <w:p>
      <w:pPr>
        <w:pStyle w:val="Compact"/>
        <w:numPr>
          <w:ilvl w:val="0"/>
          <w:numId w:val="1010"/>
        </w:numPr>
      </w:pPr>
      <w:r>
        <w:t xml:space="preserve">Realized pricing rises faster than scrap costs.</w:t>
      </w:r>
    </w:p>
    <w:p>
      <w:pPr>
        <w:pStyle w:val="Compact"/>
        <w:numPr>
          <w:ilvl w:val="0"/>
          <w:numId w:val="1010"/>
        </w:numPr>
      </w:pPr>
      <w:r>
        <w:t xml:space="preserve">Backlogs and order activity remain near Q1’s strong levels.</w:t>
      </w:r>
    </w:p>
    <w:p>
      <w:pPr>
        <w:pStyle w:val="Compact"/>
        <w:numPr>
          <w:ilvl w:val="0"/>
          <w:numId w:val="1010"/>
        </w:numPr>
      </w:pPr>
      <w:r>
        <w:t xml:space="preserve">Management guides to stable or improving recurring earnings in Q3.</w:t>
      </w:r>
    </w:p>
    <w:p>
      <w:pPr>
        <w:pStyle w:val="Compact"/>
        <w:numPr>
          <w:ilvl w:val="0"/>
          <w:numId w:val="1010"/>
        </w:numPr>
      </w:pPr>
      <w:r>
        <w:t xml:space="preserve">West Virginia remains on time and within budget.</w:t>
      </w:r>
    </w:p>
    <w:p>
      <w:pPr>
        <w:pStyle w:val="Compact"/>
        <w:numPr>
          <w:ilvl w:val="0"/>
          <w:numId w:val="1010"/>
        </w:numPr>
      </w:pPr>
      <w:r>
        <w:t xml:space="preserve">Buybacks continue at a meaningful pace.</w:t>
      </w:r>
    </w:p>
    <w:bookmarkEnd w:id="26"/>
    <w:bookmarkStart w:id="27" w:name="base-case"/>
    <w:p>
      <w:pPr>
        <w:pStyle w:val="Heading3"/>
      </w:pPr>
      <w:r>
        <w:t xml:space="preserve">Base case</w:t>
      </w:r>
    </w:p>
    <w:p>
      <w:pPr>
        <w:pStyle w:val="Compact"/>
        <w:numPr>
          <w:ilvl w:val="0"/>
          <w:numId w:val="1011"/>
        </w:numPr>
      </w:pPr>
      <w:r>
        <w:t xml:space="preserve">EPS lands within the preannounced range.</w:t>
      </w:r>
    </w:p>
    <w:p>
      <w:pPr>
        <w:pStyle w:val="Compact"/>
        <w:numPr>
          <w:ilvl w:val="0"/>
          <w:numId w:val="1011"/>
        </w:numPr>
      </w:pPr>
      <w:r>
        <w:t xml:space="preserve">Q2 benefits substantially from the refund, but underlying spreads still improve.</w:t>
      </w:r>
    </w:p>
    <w:p>
      <w:pPr>
        <w:pStyle w:val="Compact"/>
        <w:numPr>
          <w:ilvl w:val="0"/>
          <w:numId w:val="1011"/>
        </w:numPr>
      </w:pPr>
      <w:r>
        <w:t xml:space="preserve">Management guides to a sequential Q3 decline because of the missing refund and normal seasonality.</w:t>
      </w:r>
    </w:p>
    <w:p>
      <w:pPr>
        <w:pStyle w:val="Compact"/>
        <w:numPr>
          <w:ilvl w:val="0"/>
          <w:numId w:val="1011"/>
        </w:numPr>
      </w:pPr>
      <w:r>
        <w:t xml:space="preserve">Demand remains strong in data centers, energy and infrastructure but mixed elsewhere.</w:t>
      </w:r>
    </w:p>
    <w:p>
      <w:pPr>
        <w:pStyle w:val="Compact"/>
        <w:numPr>
          <w:ilvl w:val="0"/>
          <w:numId w:val="1011"/>
        </w:numPr>
      </w:pPr>
      <w:r>
        <w:t xml:space="preserve">Major projects remain on schedule.</w:t>
      </w:r>
    </w:p>
    <w:p>
      <w:pPr>
        <w:pStyle w:val="FirstParagraph"/>
      </w:pPr>
      <w:r>
        <w:t xml:space="preserve">This would be a fundamentally sound report, although the share-price reaction could be muted given the strong expectations already embedded in the stock.</w:t>
      </w:r>
    </w:p>
    <w:bookmarkEnd w:id="27"/>
    <w:bookmarkStart w:id="28" w:name="bear-case"/>
    <w:p>
      <w:pPr>
        <w:pStyle w:val="Heading3"/>
      </w:pPr>
      <w:r>
        <w:t xml:space="preserve">Bear case</w:t>
      </w:r>
    </w:p>
    <w:p>
      <w:pPr>
        <w:pStyle w:val="Compact"/>
        <w:numPr>
          <w:ilvl w:val="0"/>
          <w:numId w:val="1012"/>
        </w:numPr>
      </w:pPr>
      <w:r>
        <w:t xml:space="preserve">Adjusted EPS misses the guidance range.</w:t>
      </w:r>
    </w:p>
    <w:p>
      <w:pPr>
        <w:pStyle w:val="Compact"/>
        <w:numPr>
          <w:ilvl w:val="0"/>
          <w:numId w:val="1012"/>
        </w:numPr>
      </w:pPr>
      <w:r>
        <w:t xml:space="preserve">Stable-volume assumptions prove too optimistic.</w:t>
      </w:r>
    </w:p>
    <w:p>
      <w:pPr>
        <w:pStyle w:val="Compact"/>
        <w:numPr>
          <w:ilvl w:val="0"/>
          <w:numId w:val="1012"/>
        </w:numPr>
      </w:pPr>
      <w:r>
        <w:t xml:space="preserve">Steel Products margins deteriorate as input costs rise.</w:t>
      </w:r>
    </w:p>
    <w:p>
      <w:pPr>
        <w:pStyle w:val="Compact"/>
        <w:numPr>
          <w:ilvl w:val="0"/>
          <w:numId w:val="1012"/>
        </w:numPr>
      </w:pPr>
      <w:r>
        <w:t xml:space="preserve">Management reports weaker bookings, shorter lead times or increasing import pressure.</w:t>
      </w:r>
    </w:p>
    <w:p>
      <w:pPr>
        <w:pStyle w:val="Compact"/>
        <w:numPr>
          <w:ilvl w:val="0"/>
          <w:numId w:val="1012"/>
        </w:numPr>
      </w:pPr>
      <w:r>
        <w:t xml:space="preserve">Q3 recurring earnings fall materially below the cleaner Q2 run rate.</w:t>
      </w:r>
    </w:p>
    <w:p>
      <w:pPr>
        <w:pStyle w:val="Compact"/>
        <w:numPr>
          <w:ilvl w:val="0"/>
          <w:numId w:val="1012"/>
        </w:numPr>
      </w:pPr>
      <w:r>
        <w:t xml:space="preserve">West Virginia costs or commissioning timelines increase.</w:t>
      </w:r>
    </w:p>
    <w:p>
      <w:pPr>
        <w:pStyle w:val="Compact"/>
        <w:numPr>
          <w:ilvl w:val="0"/>
          <w:numId w:val="1012"/>
        </w:numPr>
      </w:pPr>
      <w:r>
        <w:t xml:space="preserve">Cash conversion disappoints because of working capital and capital spending.</w:t>
      </w:r>
    </w:p>
    <w:p>
      <w:r>
        <w:pict>
          <v:rect style="width:0;height:1.5pt" o:hralign="center" o:hrstd="t" o:hr="t"/>
        </w:pict>
      </w:r>
    </w:p>
    <w:bookmarkEnd w:id="28"/>
    <w:bookmarkEnd w:id="29"/>
    <w:bookmarkStart w:id="30" w:name="questions-management-needs-to-answer"/>
    <w:p>
      <w:pPr>
        <w:pStyle w:val="Heading2"/>
      </w:pPr>
      <w:r>
        <w:t xml:space="preserve">Questions management needs to answer</w:t>
      </w:r>
    </w:p>
    <w:p>
      <w:pPr>
        <w:pStyle w:val="Compact"/>
        <w:numPr>
          <w:ilvl w:val="0"/>
          <w:numId w:val="1013"/>
        </w:numPr>
      </w:pPr>
      <w:r>
        <w:rPr>
          <w:b/>
          <w:bCs/>
        </w:rPr>
        <w:t xml:space="preserve">What would Q2 earnings have been without the $130 million procurement refund?</w:t>
      </w:r>
    </w:p>
    <w:p>
      <w:pPr>
        <w:pStyle w:val="Compact"/>
        <w:numPr>
          <w:ilvl w:val="0"/>
          <w:numId w:val="1013"/>
        </w:numPr>
      </w:pPr>
      <w:r>
        <w:t xml:space="preserve">Can higher realized pricing and lagged contracts offset the refund’s absence in Q3?</w:t>
      </w:r>
    </w:p>
    <w:p>
      <w:pPr>
        <w:pStyle w:val="Compact"/>
        <w:numPr>
          <w:ilvl w:val="0"/>
          <w:numId w:val="1013"/>
        </w:numPr>
      </w:pPr>
      <w:r>
        <w:t xml:space="preserve">How did steel-mill backlog change from Q1’s 4.7 million tons?</w:t>
      </w:r>
    </w:p>
    <w:p>
      <w:pPr>
        <w:pStyle w:val="Compact"/>
        <w:numPr>
          <w:ilvl w:val="0"/>
          <w:numId w:val="1013"/>
        </w:numPr>
      </w:pPr>
      <w:r>
        <w:t xml:space="preserve">Are order rates still strongest in structural, plate and data-center-related products?</w:t>
      </w:r>
    </w:p>
    <w:p>
      <w:pPr>
        <w:pStyle w:val="Compact"/>
        <w:numPr>
          <w:ilvl w:val="0"/>
          <w:numId w:val="1013"/>
        </w:numPr>
      </w:pPr>
      <w:r>
        <w:t xml:space="preserve">Has import pressure increased as U.S. steel prices rose?</w:t>
      </w:r>
    </w:p>
    <w:p>
      <w:pPr>
        <w:pStyle w:val="Compact"/>
        <w:numPr>
          <w:ilvl w:val="0"/>
          <w:numId w:val="1013"/>
        </w:numPr>
      </w:pPr>
      <w:r>
        <w:t xml:space="preserve">When should Steel Products margins catch up with higher substrate costs?</w:t>
      </w:r>
    </w:p>
    <w:p>
      <w:pPr>
        <w:pStyle w:val="Compact"/>
        <w:numPr>
          <w:ilvl w:val="0"/>
          <w:numId w:val="1013"/>
        </w:numPr>
      </w:pPr>
      <w:r>
        <w:t xml:space="preserve">Are West Virginia’s cost and commissioning schedules unchanged?</w:t>
      </w:r>
    </w:p>
    <w:p>
      <w:pPr>
        <w:pStyle w:val="Compact"/>
        <w:numPr>
          <w:ilvl w:val="0"/>
          <w:numId w:val="1013"/>
        </w:numPr>
      </w:pPr>
      <w:r>
        <w:t xml:space="preserve">What should investors assume for second-half start-up expenses and capital spending?</w:t>
      </w:r>
    </w:p>
    <w:p>
      <w:pPr>
        <w:pStyle w:val="Compact"/>
        <w:numPr>
          <w:ilvl w:val="0"/>
          <w:numId w:val="1013"/>
        </w:numPr>
      </w:pPr>
      <w:r>
        <w:t xml:space="preserve">Is full-year shipment growth still likely to exceed the initial 5% expectation?</w:t>
      </w:r>
    </w:p>
    <w:p>
      <w:pPr>
        <w:pStyle w:val="Compact"/>
        <w:numPr>
          <w:ilvl w:val="0"/>
          <w:numId w:val="1013"/>
        </w:numPr>
      </w:pPr>
      <w:r>
        <w:t xml:space="preserve">How aggressively will Nucor repurchase shares at current prices?</w:t>
      </w:r>
    </w:p>
    <w:bookmarkEnd w:id="30"/>
    <w:bookmarkStart w:id="31" w:name="bottom-line"/>
    <w:p>
      <w:pPr>
        <w:pStyle w:val="Heading2"/>
      </w:pPr>
      <w:r>
        <w:t xml:space="preserve">Bottom line</w:t>
      </w:r>
    </w:p>
    <w:p>
      <w:pPr>
        <w:pStyle w:val="FirstParagraph"/>
      </w:pPr>
      <w:r>
        <w:rPr>
          <w:b/>
          <w:bCs/>
        </w:rPr>
        <w:t xml:space="preserve">The setup is operationally positive but expectation-heavy.</w:t>
      </w:r>
      <w:r>
        <w:t xml:space="preserve"> </w:t>
      </w:r>
      <w:r>
        <w:t xml:space="preserve">Q2 should show a major earnings improvement, with consensus sitting near the company’s adjusted guidance. The headline number matters less than the composition: investors should strip out both the Helion gain and the procurement refund when assessing recurring profitability.</w:t>
      </w:r>
    </w:p>
    <w:p>
      <w:pPr>
        <w:pStyle w:val="BodyText"/>
      </w:pPr>
      <w:r>
        <w:t xml:space="preserve">The most bullish signal would be guidance showing that</w:t>
      </w:r>
      <w:r>
        <w:t xml:space="preserve"> </w:t>
      </w:r>
      <w:r>
        <w:rPr>
          <w:b/>
          <w:bCs/>
        </w:rPr>
        <w:t xml:space="preserve">higher prices, strong backlogs and project-driven demand can keep Q3 recurring earnings near or above Q2’s underlying run rate</w:t>
      </w:r>
      <w:r>
        <w:t xml:space="preserve">. Conversely, a report that relies heavily on special benefits while pointing to declining backlogs or weaker Q3 spreads would suggest the earnings recovery is closer to a cyclical peak than the beginning of a sustained expansion.</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nucor.com/news/news-details/2026/Nucor-Invites-You-to-Join-Its-Second-Quarter-of-2026-Conference-Call-on-the-Web/default.aspx?utm_source=openai" TargetMode="External" /><Relationship Type="http://schemas.openxmlformats.org/officeDocument/2006/relationships/hyperlink" Id="rId14" Target="https://investors.nucor.com/news/news-details/2026/Nucor-Reports-Results-for-the-First-Quarter-of-2026/default.aspx?utm_source=openai" TargetMode="External" /><Relationship Type="http://schemas.openxmlformats.org/officeDocument/2006/relationships/hyperlink" Id="rId17" Target="https://ir.steeldynamics.com/steel-dynamics-reports-second-quarter-2026-results/?utm_source=openai" TargetMode="External" /><Relationship Type="http://schemas.openxmlformats.org/officeDocument/2006/relationships/hyperlink" Id="rId10" Target="https://nucor.com/news/?article=nucor-announces-guidance-for-the-second-quarter-of-2026-earnings-122993&amp;utm_source=openai" TargetMode="External" /><Relationship Type="http://schemas.openxmlformats.org/officeDocument/2006/relationships/hyperlink" Id="rId15" Target="https://www.fool.com/earnings/call-transcripts/2026/04/28/nucor-nue-q1-2026-earnings-call-transcript/?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nucor.com/news/news-details/2026/Nucor-Invites-You-to-Join-Its-Second-Quarter-of-2026-Conference-Call-on-the-Web/default.aspx?utm_source=openai" TargetMode="External" /><Relationship Type="http://schemas.openxmlformats.org/officeDocument/2006/relationships/hyperlink" Id="rId14" Target="https://investors.nucor.com/news/news-details/2026/Nucor-Reports-Results-for-the-First-Quarter-of-2026/default.aspx?utm_source=openai" TargetMode="External" /><Relationship Type="http://schemas.openxmlformats.org/officeDocument/2006/relationships/hyperlink" Id="rId17" Target="https://ir.steeldynamics.com/steel-dynamics-reports-second-quarter-2026-results/?utm_source=openai" TargetMode="External" /><Relationship Type="http://schemas.openxmlformats.org/officeDocument/2006/relationships/hyperlink" Id="rId10" Target="https://nucor.com/news/?article=nucor-announces-guidance-for-the-second-quarter-of-2026-earnings-122993&amp;utm_source=openai" TargetMode="External" /><Relationship Type="http://schemas.openxmlformats.org/officeDocument/2006/relationships/hyperlink" Id="rId15" Target="https://www.fool.com/earnings/call-transcripts/2026/04/28/nucor-nue-q1-2026-earnings-call-transcript/?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2026-07-27T00:18:50Z</dcterms:created>
  <dcterms:modified xsi:type="dcterms:W3CDTF">2026-07-27T00:18:50Z</dcterms:modified>
</cp:coreProperties>
</file>

<file path=docProps/custom.xml><?xml version="1.0" encoding="utf-8"?>
<Properties xmlns="http://schemas.openxmlformats.org/officeDocument/2006/custom-properties" xmlns:vt="http://schemas.openxmlformats.org/officeDocument/2006/docPropsVTypes"/>
</file>