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nucor-nyse-nue--2q26-earnings-preview"/>
    <w:p>
      <w:pPr>
        <w:pStyle w:val="Heading1"/>
      </w:pPr>
      <w:r>
        <w:t xml:space="preserve">Nucor (NYSE: NUE) — 2Q26 Earnings Preview</w:t>
      </w:r>
    </w:p>
    <w:p>
      <w:pPr>
        <w:pStyle w:val="BlockText"/>
      </w:pPr>
      <w:r>
        <w:rPr>
          <w:b/>
          <w:bCs/>
        </w:rPr>
        <w:t xml:space="preserve">Timing correction:</w:t>
      </w:r>
      <w:r>
        <w:t xml:space="preserve"> </w:t>
      </w:r>
      <w:r>
        <w:t xml:space="preserve">Nucor is scheduled to</w:t>
      </w:r>
      <w:r>
        <w:t xml:space="preserve"> </w:t>
      </w:r>
      <w:r>
        <w:rPr>
          <w:b/>
          <w:bCs/>
        </w:rPr>
        <w:t xml:space="preserve">release 2Q26 results after the market close today, Monday, July 27, 2026</w:t>
      </w:r>
      <w:r>
        <w:t xml:space="preserve">. The</w:t>
      </w:r>
      <w:r>
        <w:t xml:space="preserve"> </w:t>
      </w:r>
      <w:r>
        <w:rPr>
          <w:b/>
          <w:bCs/>
        </w:rPr>
        <w:t xml:space="preserve">earnings call is tomorrow, Tuesday, July 28, at 10:00 a.m. ET</w:t>
      </w:r>
      <w:r>
        <w:t xml:space="preserve">. The reported quarter ended</w:t>
      </w:r>
      <w:r>
        <w:t xml:space="preserve"> </w:t>
      </w:r>
      <w:r>
        <w:rPr>
          <w:b/>
          <w:bCs/>
        </w:rPr>
        <w:t xml:space="preserve">July 4, 2026</w:t>
      </w:r>
      <w:r>
        <w:t xml:space="preserve">, leaving investors focused not only on the quarter’s numbers but especially on management’s read-through on July demand, pricing, and margins. (</w:t>
      </w:r>
      <w:hyperlink r:id="rId9">
        <w:r>
          <w:rPr>
            <w:rStyle w:val="Hyperlink"/>
          </w:rPr>
          <w:t xml:space="preserve">investors.nucor.com</w:t>
        </w:r>
      </w:hyperlink>
      <w:r>
        <w:t xml:space="preserve">)</w:t>
      </w:r>
    </w:p>
    <w:bookmarkStart w:id="10" w:name="bottom-line"/>
    <w:p>
      <w:pPr>
        <w:pStyle w:val="Heading2"/>
      </w:pPr>
      <w:r>
        <w:t xml:space="preserve">Bottom line</w:t>
      </w:r>
    </w:p>
    <w:p>
      <w:pPr>
        <w:pStyle w:val="FirstParagraph"/>
      </w:pPr>
      <w:r>
        <w:t xml:space="preserve">Nucor enters earnings with a favorable fundamental setup but a higher bar for the</w:t>
      </w:r>
      <w:r>
        <w:t xml:space="preserve"> </w:t>
      </w:r>
      <w:r>
        <w:rPr>
          <w:b/>
          <w:bCs/>
        </w:rPr>
        <w:t xml:space="preserve">forward outlook</w:t>
      </w:r>
      <w:r>
        <w:t xml:space="preserve"> </w:t>
      </w:r>
      <w:r>
        <w:t xml:space="preserve">than for the reported quarter. The company has already guided to</w:t>
      </w:r>
      <w:r>
        <w:t xml:space="preserve"> </w:t>
      </w:r>
      <m:oMath>
        <m:r>
          <m:t>4.70</m:t>
        </m:r>
        <m:r>
          <m:rPr>
            <m:sty m:val="p"/>
          </m:rPr>
          <m:t>–</m:t>
        </m:r>
      </m:oMath>
      <w:r>
        <w:rPr>
          <w:b/>
          <w:bCs/>
        </w:rPr>
        <w:t xml:space="preserve">4.80 in GAAP EPS</w:t>
      </w:r>
      <w:r>
        <w:t xml:space="preserve"> </w:t>
      </w:r>
      <w:r>
        <w:t xml:space="preserve">and</w:t>
      </w:r>
      <w:r>
        <w:t xml:space="preserve"> </w:t>
      </w:r>
      <m:oMath>
        <m:r>
          <m:t>4.50</m:t>
        </m:r>
        <m:r>
          <m:rPr>
            <m:sty m:val="p"/>
          </m:rPr>
          <m:t>–</m:t>
        </m:r>
      </m:oMath>
      <w:r>
        <w:rPr>
          <w:b/>
          <w:bCs/>
        </w:rPr>
        <w:t xml:space="preserve">4.60 in adjusted EPS</w:t>
      </w:r>
      <w:r>
        <w:t xml:space="preserve">, so a headline “beat” versus consensus is largely expected. The more important questions are:</w:t>
      </w:r>
    </w:p>
    <w:p>
      <w:pPr>
        <w:pStyle w:val="Compact"/>
        <w:numPr>
          <w:ilvl w:val="0"/>
          <w:numId w:val="1001"/>
        </w:numPr>
      </w:pPr>
      <w:r>
        <w:rPr>
          <w:b/>
          <w:bCs/>
        </w:rPr>
        <w:t xml:space="preserve">Can sheet and plate pricing/margins remain resilient into 3Q?</w:t>
      </w:r>
    </w:p>
    <w:p>
      <w:pPr>
        <w:pStyle w:val="Compact"/>
        <w:numPr>
          <w:ilvl w:val="0"/>
          <w:numId w:val="1001"/>
        </w:numPr>
      </w:pPr>
      <w:r>
        <w:rPr>
          <w:b/>
          <w:bCs/>
        </w:rPr>
        <w:t xml:space="preserve">Are strong structural, rebar, data-center, energy, and infrastructure backlogs translating into higher shipments?</w:t>
      </w:r>
    </w:p>
    <w:p>
      <w:pPr>
        <w:pStyle w:val="Compact"/>
        <w:numPr>
          <w:ilvl w:val="0"/>
          <w:numId w:val="1001"/>
        </w:numPr>
      </w:pPr>
      <w:r>
        <w:rPr>
          <w:b/>
          <w:bCs/>
        </w:rPr>
        <w:t xml:space="preserve">How much of 2Q strength is recurring versus helped by the raw-materials procurement refund?</w:t>
      </w:r>
    </w:p>
    <w:p>
      <w:pPr>
        <w:pStyle w:val="Compact"/>
        <w:numPr>
          <w:ilvl w:val="0"/>
          <w:numId w:val="1001"/>
        </w:numPr>
      </w:pPr>
      <w:r>
        <w:rPr>
          <w:b/>
          <w:bCs/>
        </w:rPr>
        <w:t xml:space="preserve">Does management sustain its bullish 2026 volume-growth and cash-flow outlook?</w:t>
      </w:r>
    </w:p>
    <w:p>
      <w:pPr>
        <w:pStyle w:val="FirstParagraph"/>
      </w:pPr>
      <w:r>
        <w:t xml:space="preserve">My read:</w:t>
      </w:r>
      <w:r>
        <w:t xml:space="preserve"> </w:t>
      </w:r>
      <w:r>
        <w:rPr>
          <w:b/>
          <w:bCs/>
        </w:rPr>
        <w:t xml:space="preserve">the risk/reward depends more on the tone around 3Q and normalized earnings power than on 2Q EPS itself.</w:t>
      </w:r>
      <w:r>
        <w:t xml:space="preserve"> </w:t>
      </w:r>
      <w:r>
        <w:t xml:space="preserve">A result within guidance paired with continued constructive commentary on order books, spot pricing, imports, and downstream margins should be sufficient. Conversely, any indication that price realization, long-product demand, or project-related costs are deteriorating could disappoint a stock that has already rerated sharply.</w:t>
      </w:r>
    </w:p>
    <w:p>
      <w:r>
        <w:pict>
          <v:rect style="width:0;height:1.5pt" o:hralign="center" o:hrstd="t" o:hr="t"/>
        </w:pict>
      </w:r>
    </w:p>
    <w:bookmarkEnd w:id="10"/>
    <w:bookmarkStart w:id="12" w:name="what-the-market-expects"/>
    <w:p>
      <w:pPr>
        <w:pStyle w:val="Heading2"/>
      </w:pPr>
      <w:r>
        <w:t xml:space="preserve">What the market expects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2Q26 setup</w:t>
            </w:r>
          </w:p>
        </w:tc>
      </w:tr>
      <w:tr>
        <w:tc>
          <w:tcPr/>
          <w:p>
            <w:pPr>
              <w:pStyle w:val="Compact"/>
            </w:pPr>
            <w:r>
              <w:rPr>
                <w:b/>
                <w:bCs/>
              </w:rPr>
              <w:t xml:space="preserve">Company GAAP EPS guide</w:t>
            </w:r>
          </w:p>
        </w:tc>
        <w:tc>
          <w:tcPr/>
          <w:p>
            <w:pPr>
              <w:pStyle w:val="Compact"/>
              <w:jc w:val="right"/>
            </w:pPr>
            <m:oMath>
              <m:r>
                <m:t>4.70</m:t>
              </m:r>
              <m:r>
                <m:rPr>
                  <m:sty m:val="p"/>
                </m:rPr>
                <m:t>–</m:t>
              </m:r>
            </m:oMath>
            <w:r>
              <w:rPr>
                <w:b/>
                <w:bCs/>
              </w:rPr>
              <w:t xml:space="preserve">4.80</w:t>
            </w:r>
          </w:p>
        </w:tc>
      </w:tr>
      <w:tr>
        <w:tc>
          <w:tcPr/>
          <w:p>
            <w:pPr>
              <w:pStyle w:val="Compact"/>
            </w:pPr>
            <w:r>
              <w:rPr>
                <w:b/>
                <w:bCs/>
              </w:rPr>
              <w:t xml:space="preserve">Company adjusted EPS guide</w:t>
            </w:r>
          </w:p>
        </w:tc>
        <w:tc>
          <w:tcPr/>
          <w:p>
            <w:pPr>
              <w:pStyle w:val="Compact"/>
              <w:jc w:val="right"/>
            </w:pPr>
            <m:oMath>
              <m:r>
                <m:t>4.50</m:t>
              </m:r>
              <m:r>
                <m:rPr>
                  <m:sty m:val="p"/>
                </m:rPr>
                <m:t>–</m:t>
              </m:r>
            </m:oMath>
            <w:r>
              <w:rPr>
                <w:b/>
                <w:bCs/>
              </w:rPr>
              <w:t xml:space="preserve">4.60</w:t>
            </w:r>
          </w:p>
        </w:tc>
      </w:tr>
      <w:tr>
        <w:tc>
          <w:tcPr/>
          <w:p>
            <w:pPr>
              <w:pStyle w:val="Compact"/>
            </w:pPr>
            <w:r>
              <w:rPr>
                <w:b/>
                <w:bCs/>
              </w:rPr>
              <w:t xml:space="preserve">External EPS consensus</w:t>
            </w:r>
          </w:p>
        </w:tc>
        <w:tc>
          <w:tcPr/>
          <w:p>
            <w:pPr>
              <w:pStyle w:val="Compact"/>
              <w:jc w:val="right"/>
            </w:pPr>
            <w:r>
              <w:t xml:space="preserve">Roughly</w:t>
            </w:r>
            <w:r>
              <w:t xml:space="preserve"> </w:t>
            </w:r>
            <m:oMath>
              <m:r>
                <m:t>4.5</m:t>
              </m:r>
              <m:r>
                <m:rPr>
                  <m:sty m:val="p"/>
                </m:rPr>
                <m:t>–</m:t>
              </m:r>
            </m:oMath>
            <w:r>
              <w:rPr>
                <w:b/>
                <w:bCs/>
              </w:rPr>
              <w:t xml:space="preserve">4.6</w:t>
            </w:r>
          </w:p>
        </w:tc>
      </w:tr>
      <w:tr>
        <w:tc>
          <w:tcPr/>
          <w:p>
            <w:pPr>
              <w:pStyle w:val="Compact"/>
            </w:pPr>
            <w:r>
              <w:rPr>
                <w:b/>
                <w:bCs/>
              </w:rPr>
              <w:t xml:space="preserve">External revenue consensus</w:t>
            </w:r>
          </w:p>
        </w:tc>
        <w:tc>
          <w:tcPr/>
          <w:p>
            <w:pPr>
              <w:pStyle w:val="Compact"/>
              <w:jc w:val="right"/>
            </w:pPr>
            <w:r>
              <w:t xml:space="preserve">Roughly</w:t>
            </w:r>
            <w:r>
              <w:t xml:space="preserve"> </w:t>
            </w:r>
            <m:oMath>
              <m:r>
                <m:t>9.9</m:t>
              </m:r>
              <m:r>
                <m:t>B</m:t>
              </m:r>
              <m:r>
                <m:rPr>
                  <m:sty m:val="p"/>
                </m:rPr>
                <m:t>–</m:t>
              </m:r>
            </m:oMath>
            <w:r>
              <w:rPr>
                <w:b/>
                <w:bCs/>
              </w:rPr>
              <w:t xml:space="preserve">10.1B</w:t>
            </w:r>
          </w:p>
        </w:tc>
      </w:tr>
      <w:tr>
        <w:tc>
          <w:tcPr/>
          <w:p>
            <w:pPr>
              <w:pStyle w:val="Compact"/>
            </w:pPr>
            <w:r>
              <w:rPr>
                <w:b/>
                <w:bCs/>
              </w:rPr>
              <w:t xml:space="preserve">1Q26 EPS / revenue</w:t>
            </w:r>
          </w:p>
        </w:tc>
        <w:tc>
          <w:tcPr/>
          <w:p>
            <w:pPr>
              <w:pStyle w:val="Compact"/>
              <w:jc w:val="right"/>
            </w:pPr>
            <w:r>
              <w:rPr>
                <w:b/>
                <w:bCs/>
              </w:rPr>
              <w:t xml:space="preserve">$3.23 / $9.50B</w:t>
            </w:r>
          </w:p>
        </w:tc>
      </w:tr>
      <w:tr>
        <w:tc>
          <w:tcPr/>
          <w:p>
            <w:pPr>
              <w:pStyle w:val="Compact"/>
            </w:pPr>
            <w:r>
              <w:rPr>
                <w:b/>
                <w:bCs/>
              </w:rPr>
              <w:t xml:space="preserve">2Q25 EPS</w:t>
            </w:r>
          </w:p>
        </w:tc>
        <w:tc>
          <w:tcPr/>
          <w:p>
            <w:pPr>
              <w:pStyle w:val="Compact"/>
              <w:jc w:val="right"/>
            </w:pPr>
            <w:r>
              <w:rPr>
                <w:b/>
                <w:bCs/>
              </w:rPr>
              <w:t xml:space="preserve">$2.60</w:t>
            </w:r>
          </w:p>
        </w:tc>
      </w:tr>
    </w:tbl>
    <w:p>
      <w:pPr>
        <w:pStyle w:val="BodyText"/>
      </w:pPr>
      <w:r>
        <w:t xml:space="preserve">Nucor’s June guidance implies a substantial sequential and year-over-year step-up from 1Q26 EPS of $3.23 and 2Q25 EPS of $2.60. Importantly, the company explicitly expects higher earnings in</w:t>
      </w:r>
      <w:r>
        <w:t xml:space="preserve"> </w:t>
      </w:r>
      <w:r>
        <w:rPr>
          <w:b/>
          <w:bCs/>
        </w:rPr>
        <w:t xml:space="preserve">all three operating segments</w:t>
      </w:r>
      <w:r>
        <w:t xml:space="preserve">, led by Steel Mills. (</w:t>
      </w:r>
      <w:hyperlink r:id="rId9">
        <w:r>
          <w:rPr>
            <w:rStyle w:val="Hyperlink"/>
          </w:rPr>
          <w:t xml:space="preserve">investors.nucor.com</w:t>
        </w:r>
      </w:hyperlink>
      <w:r>
        <w:t xml:space="preserve">)</w:t>
      </w:r>
    </w:p>
    <w:bookmarkStart w:id="11" w:name="do-not-overread-a-gaap-eps-beat"/>
    <w:p>
      <w:pPr>
        <w:pStyle w:val="Heading3"/>
      </w:pPr>
      <w:r>
        <w:t xml:space="preserve">Do not overread a GAAP EPS beat</w:t>
      </w:r>
    </w:p>
    <w:p>
      <w:pPr>
        <w:pStyle w:val="FirstParagraph"/>
      </w:pPr>
      <w:r>
        <w:t xml:space="preserve">The GAAP guide includes a</w:t>
      </w:r>
      <w:r>
        <w:t xml:space="preserve"> </w:t>
      </w:r>
      <w:r>
        <w:rPr>
          <w:b/>
          <w:bCs/>
        </w:rPr>
        <w:t xml:space="preserve">~</w:t>
      </w:r>
      <m:oMath>
        <m:r>
          <m:t>0.20</m:t>
        </m:r>
        <m:r>
          <m:rPr>
            <m:sty m:val="p"/>
          </m:rPr>
          <m:t>/</m:t>
        </m:r>
        <m:r>
          <m:t>s</m:t>
        </m:r>
        <m:r>
          <m:t>h</m:t>
        </m:r>
        <m:r>
          <m:t>a</m:t>
        </m:r>
        <m:r>
          <m:t>r</m:t>
        </m:r>
        <m:r>
          <m:t>e</m:t>
        </m:r>
        <m:r>
          <m:t>n</m:t>
        </m:r>
        <m:r>
          <m:t>o</m:t>
        </m:r>
        <m:r>
          <m:t>n</m:t>
        </m:r>
        <m:r>
          <m:rPr>
            <m:sty m:val="p"/>
          </m:rPr>
          <m:t>−</m:t>
        </m:r>
        <m:r>
          <m:t>c</m:t>
        </m:r>
        <m:r>
          <m:t>a</m:t>
        </m:r>
        <m:r>
          <m:t>s</m:t>
        </m:r>
        <m:r>
          <m:t>h</m:t>
        </m:r>
        <m:r>
          <m:t>g</m:t>
        </m:r>
        <m:r>
          <m:t>a</m:t>
        </m:r>
        <m:r>
          <m:t>i</m:t>
        </m:r>
        <m:r>
          <m:t>n</m:t>
        </m:r>
        <m:r>
          <m:rPr>
            <m:sty m:val="p"/>
          </m:rPr>
          <m:t>*</m:t>
        </m:r>
        <m:r>
          <m:rPr>
            <m:sty m:val="p"/>
          </m:rPr>
          <m:t>*</m:t>
        </m:r>
        <m:r>
          <m:t>t</m:t>
        </m:r>
        <m:r>
          <m:t>i</m:t>
        </m:r>
        <m:r>
          <m:t>e</m:t>
        </m:r>
        <m:r>
          <m:t>d</m:t>
        </m:r>
        <m:r>
          <m:t>t</m:t>
        </m:r>
        <m:r>
          <m:t>o</m:t>
        </m:r>
        <m:r>
          <m:t>t</m:t>
        </m:r>
        <m:r>
          <m:t>h</m:t>
        </m:r>
        <m:r>
          <m:t>e</m:t>
        </m:r>
        <m:r>
          <m:t>h</m:t>
        </m:r>
        <m:r>
          <m:t>i</m:t>
        </m:r>
        <m:r>
          <m:t>g</m:t>
        </m:r>
        <m:r>
          <m:t>h</m:t>
        </m:r>
        <m:r>
          <m:t>e</m:t>
        </m:r>
        <m:r>
          <m:t>r</m:t>
        </m:r>
        <m:r>
          <m:t>v</m:t>
        </m:r>
        <m:r>
          <m:t>a</m:t>
        </m:r>
        <m:r>
          <m:t>l</m:t>
        </m:r>
        <m:r>
          <m:t>u</m:t>
        </m:r>
        <m:r>
          <m:t>e</m:t>
        </m:r>
        <m:r>
          <m:t>o</m:t>
        </m:r>
        <m:r>
          <m:t>f</m:t>
        </m:r>
        <m:r>
          <m:t>N</m:t>
        </m:r>
        <m:r>
          <m:t>u</m:t>
        </m:r>
        <m:r>
          <m:t>c</m:t>
        </m:r>
        <m:r>
          <m:t>o</m:t>
        </m:r>
        <m:r>
          <m:t>r</m:t>
        </m:r>
        <m:r>
          <m:rPr>
            <m:sty m:val="p"/>
          </m:rPr>
          <m:t>’</m:t>
        </m:r>
        <m:r>
          <m:t>s</m:t>
        </m:r>
        <m:r>
          <m:t>H</m:t>
        </m:r>
        <m:r>
          <m:t>e</m:t>
        </m:r>
        <m:r>
          <m:t>l</m:t>
        </m:r>
        <m:r>
          <m:t>i</m:t>
        </m:r>
        <m:r>
          <m:t>o</m:t>
        </m:r>
        <m:r>
          <m:t>n</m:t>
        </m:r>
        <m:r>
          <m:t>f</m:t>
        </m:r>
        <m:r>
          <m:t>u</m:t>
        </m:r>
        <m:r>
          <m:t>s</m:t>
        </m:r>
        <m:r>
          <m:t>i</m:t>
        </m:r>
        <m:r>
          <m:t>o</m:t>
        </m:r>
        <m:r>
          <m:t>n</m:t>
        </m:r>
        <m:r>
          <m:rPr>
            <m:sty m:val="p"/>
          </m:rPr>
          <m:t>−</m:t>
        </m:r>
        <m:r>
          <m:t>e</m:t>
        </m:r>
        <m:r>
          <m:t>n</m:t>
        </m:r>
        <m:r>
          <m:t>e</m:t>
        </m:r>
        <m:r>
          <m:t>r</m:t>
        </m:r>
        <m:r>
          <m:t>g</m:t>
        </m:r>
        <m:r>
          <m:t>y</m:t>
        </m:r>
        <m:r>
          <m:t>i</m:t>
        </m:r>
        <m:r>
          <m:t>n</m:t>
        </m:r>
        <m:r>
          <m:t>v</m:t>
        </m:r>
        <m:r>
          <m:t>e</m:t>
        </m:r>
        <m:r>
          <m:t>s</m:t>
        </m:r>
        <m:r>
          <m:t>t</m:t>
        </m:r>
        <m:r>
          <m:t>m</m:t>
        </m:r>
        <m:r>
          <m:t>e</m:t>
        </m:r>
        <m:r>
          <m:t>n</m:t>
        </m:r>
        <m:r>
          <m:t>t</m:t>
        </m:r>
        <m:r>
          <m:rPr>
            <m:sty m:val="p"/>
          </m:rPr>
          <m:t>.</m:t>
        </m:r>
        <m:r>
          <m:t>M</m:t>
        </m:r>
        <m:r>
          <m:t>o</m:t>
        </m:r>
        <m:r>
          <m:t>r</m:t>
        </m:r>
        <m:r>
          <m:t>e</m:t>
        </m:r>
        <m:r>
          <m:t>i</m:t>
        </m:r>
        <m:r>
          <m:t>m</m:t>
        </m:r>
        <m:r>
          <m:t>p</m:t>
        </m:r>
        <m:r>
          <m:t>o</m:t>
        </m:r>
        <m:r>
          <m:t>r</m:t>
        </m:r>
        <m:r>
          <m:t>t</m:t>
        </m:r>
        <m:r>
          <m:t>a</m:t>
        </m:r>
        <m:r>
          <m:t>n</m:t>
        </m:r>
        <m:r>
          <m:t>t</m:t>
        </m:r>
        <m:r>
          <m:t>l</m:t>
        </m:r>
        <m:r>
          <m:t>y</m:t>
        </m:r>
        <m:r>
          <m:t>f</m:t>
        </m:r>
        <m:r>
          <m:t>o</m:t>
        </m:r>
        <m:r>
          <m:t>r</m:t>
        </m:r>
        <m:r>
          <m:t>o</m:t>
        </m:r>
        <m:r>
          <m:t>p</m:t>
        </m:r>
        <m:r>
          <m:t>e</m:t>
        </m:r>
        <m:r>
          <m:t>r</m:t>
        </m:r>
        <m:r>
          <m:t>a</m:t>
        </m:r>
        <m:r>
          <m:t>t</m:t>
        </m:r>
        <m:r>
          <m:t>i</m:t>
        </m:r>
        <m:r>
          <m:t>n</m:t>
        </m:r>
        <m:r>
          <m:t>g</m:t>
        </m:r>
        <m:r>
          <m:rPr>
            <m:sty m:val="p"/>
          </m:rPr>
          <m:t>−</m:t>
        </m:r>
        <m:r>
          <m:t>q</m:t>
        </m:r>
        <m:r>
          <m:t>u</m:t>
        </m:r>
        <m:r>
          <m:t>a</m:t>
        </m:r>
        <m:r>
          <m:t>l</m:t>
        </m:r>
        <m:r>
          <m:t>i</m:t>
        </m:r>
        <m:r>
          <m:t>t</m:t>
        </m:r>
        <m:r>
          <m:t>y</m:t>
        </m:r>
        <m:r>
          <m:t>a</m:t>
        </m:r>
        <m:r>
          <m:t>n</m:t>
        </m:r>
        <m:r>
          <m:t>a</m:t>
        </m:r>
        <m:r>
          <m:t>l</m:t>
        </m:r>
        <m:r>
          <m:t>y</m:t>
        </m:r>
        <m:r>
          <m:t>s</m:t>
        </m:r>
        <m:r>
          <m:t>i</m:t>
        </m:r>
        <m:r>
          <m:t>s</m:t>
        </m:r>
        <m:r>
          <m:rPr>
            <m:sty m:val="p"/>
          </m:rPr>
          <m:t>,</m:t>
        </m:r>
        <m:r>
          <m:t>S</m:t>
        </m:r>
        <m:r>
          <m:t>t</m:t>
        </m:r>
        <m:r>
          <m:t>e</m:t>
        </m:r>
        <m:r>
          <m:t>e</m:t>
        </m:r>
        <m:r>
          <m:t>l</m:t>
        </m:r>
        <m:r>
          <m:t>M</m:t>
        </m:r>
        <m:r>
          <m:t>i</m:t>
        </m:r>
        <m:r>
          <m:t>l</m:t>
        </m:r>
        <m:r>
          <m:t>l</m:t>
        </m:r>
        <m:r>
          <m:t>s</m:t>
        </m:r>
        <m:r>
          <m:t>r</m:t>
        </m:r>
        <m:r>
          <m:t>e</m:t>
        </m:r>
        <m:r>
          <m:t>s</m:t>
        </m:r>
        <m:r>
          <m:t>u</m:t>
        </m:r>
        <m:r>
          <m:t>l</m:t>
        </m:r>
        <m:r>
          <m:t>t</m:t>
        </m:r>
        <m:r>
          <m:t>s</m:t>
        </m:r>
        <m:r>
          <m:t>a</m:t>
        </m:r>
        <m:r>
          <m:t>l</m:t>
        </m:r>
        <m:r>
          <m:t>s</m:t>
        </m:r>
        <m:r>
          <m:t>o</m:t>
        </m:r>
        <m:r>
          <m:t>b</m:t>
        </m:r>
        <m:r>
          <m:t>e</m:t>
        </m:r>
        <m:r>
          <m:t>n</m:t>
        </m:r>
        <m:r>
          <m:t>e</m:t>
        </m:r>
        <m:r>
          <m:t>f</m:t>
        </m:r>
        <m:r>
          <m:t>i</m:t>
        </m:r>
        <m:r>
          <m:t>t</m:t>
        </m:r>
        <m:r>
          <m:t>f</m:t>
        </m:r>
        <m:r>
          <m:t>r</m:t>
        </m:r>
        <m:r>
          <m:t>o</m:t>
        </m:r>
        <m:r>
          <m:t>m</m:t>
        </m:r>
        <m:r>
          <m:t>a</m:t>
        </m:r>
        <m:r>
          <m:t>p</m:t>
        </m:r>
        <m:r>
          <m:t>p</m:t>
        </m:r>
        <m:r>
          <m:t>r</m:t>
        </m:r>
        <m:r>
          <m:t>o</m:t>
        </m:r>
        <m:r>
          <m:t>x</m:t>
        </m:r>
        <m:r>
          <m:t>i</m:t>
        </m:r>
        <m:r>
          <m:t>m</m:t>
        </m:r>
        <m:r>
          <m:t>a</m:t>
        </m:r>
        <m:r>
          <m:t>t</m:t>
        </m:r>
        <m:r>
          <m:t>e</m:t>
        </m:r>
        <m:r>
          <m:t>l</m:t>
        </m:r>
        <m:r>
          <m:t>y</m:t>
        </m:r>
        <m:r>
          <m:rPr>
            <m:sty m:val="p"/>
          </m:rPr>
          <m:t>*</m:t>
        </m:r>
        <m:r>
          <m:rPr>
            <m:sty m:val="p"/>
          </m:rPr>
          <m:t>*</m:t>
        </m:r>
      </m:oMath>
      <w:r>
        <w:rPr>
          <w:b/>
          <w:bCs/>
        </w:rPr>
        <w:t xml:space="preserve">130 million of cash refunds related to prior-period raw-material procurement costs</w:t>
      </w:r>
      <w:r>
        <w:t xml:space="preserve">. (</w:t>
      </w:r>
      <w:hyperlink r:id="rId9">
        <w:r>
          <w:rPr>
            <w:rStyle w:val="Hyperlink"/>
          </w:rPr>
          <w:t xml:space="preserve">investors.nucor.com</w:t>
        </w:r>
      </w:hyperlink>
      <w:r>
        <w:t xml:space="preserve">)</w:t>
      </w:r>
    </w:p>
    <w:p>
      <w:pPr>
        <w:pStyle w:val="BodyText"/>
      </w:pPr>
      <w:r>
        <w:t xml:space="preserve">Using Nucor’s 1Q effective tax rate and diluted-share count as rough inputs, that refund is worth approximately</w:t>
      </w:r>
      <w:r>
        <w:t xml:space="preserve"> </w:t>
      </w:r>
      <w:r>
        <w:rPr>
          <w:b/>
          <w:bCs/>
        </w:rPr>
        <w:t xml:space="preserve">$0.45/share after tax</w:t>
      </w:r>
      <w:r>
        <w:t xml:space="preserve">. This is an analytical estimate—not a company-adjusted metric—but it highlights why investors should focus on:</w:t>
      </w:r>
    </w:p>
    <w:p>
      <w:pPr>
        <w:pStyle w:val="Compact"/>
        <w:numPr>
          <w:ilvl w:val="0"/>
          <w:numId w:val="1002"/>
        </w:numPr>
      </w:pPr>
      <w:r>
        <w:rPr>
          <w:b/>
          <w:bCs/>
        </w:rPr>
        <w:t xml:space="preserve">Adjusted EPS excluding Helion:</w:t>
      </w:r>
      <w:r>
        <w:t xml:space="preserve"> </w:t>
      </w:r>
      <m:oMath>
        <m:r>
          <m:t>4.50</m:t>
        </m:r>
        <m:r>
          <m:rPr>
            <m:sty m:val="p"/>
          </m:rPr>
          <m:t>–</m:t>
        </m:r>
      </m:oMath>
      <w:r>
        <w:t xml:space="preserve">4.60; and</w:t>
      </w:r>
    </w:p>
    <w:p>
      <w:pPr>
        <w:pStyle w:val="Compact"/>
        <w:numPr>
          <w:ilvl w:val="0"/>
          <w:numId w:val="1002"/>
        </w:numPr>
      </w:pPr>
      <w:r>
        <w:t xml:space="preserve">The degree to which Steel Mills margin expansion is repeatable</w:t>
      </w:r>
      <w:r>
        <w:t xml:space="preserve"> </w:t>
      </w:r>
      <w:r>
        <w:rPr>
          <w:b/>
          <w:bCs/>
        </w:rPr>
        <w:t xml:space="preserve">without</w:t>
      </w:r>
      <w:r>
        <w:t xml:space="preserve"> </w:t>
      </w:r>
      <w:r>
        <w:t xml:space="preserve">the procurement refund.</w:t>
      </w:r>
    </w:p>
    <w:p>
      <w:pPr>
        <w:pStyle w:val="FirstParagraph"/>
      </w:pPr>
      <w:r>
        <w:t xml:space="preserve">A midpoint 2Q result of roughly</w:t>
      </w:r>
      <w:r>
        <w:t xml:space="preserve"> </w:t>
      </w:r>
      <w:r>
        <w:rPr>
          <w:b/>
          <w:bCs/>
        </w:rPr>
        <w:t xml:space="preserve">$4.75 GAAP EPS</w:t>
      </w:r>
      <w:r>
        <w:t xml:space="preserve"> </w:t>
      </w:r>
      <w:r>
        <w:t xml:space="preserve">would be ~47% above 1Q26 and ~83% above 2Q25, but the quality and durability of that earnings uplift matter more than the percentage growth.</w:t>
      </w:r>
    </w:p>
    <w:p>
      <w:r>
        <w:pict>
          <v:rect style="width:0;height:1.5pt" o:hralign="center" o:hrstd="t" o:hr="t"/>
        </w:pict>
      </w:r>
    </w:p>
    <w:bookmarkEnd w:id="11"/>
    <w:bookmarkEnd w:id="12"/>
    <w:bookmarkStart w:id="17" w:name="why-the-setup-has-been-strong"/>
    <w:p>
      <w:pPr>
        <w:pStyle w:val="Heading2"/>
      </w:pPr>
      <w:r>
        <w:t xml:space="preserve">Why the setup has been strong</w:t>
      </w:r>
    </w:p>
    <w:bookmarkStart w:id="14" w:name="Xeffd36dc5107c903c34d051843a84785cd3aa3d"/>
    <w:p>
      <w:pPr>
        <w:pStyle w:val="Heading3"/>
      </w:pPr>
      <w:r>
        <w:t xml:space="preserve">1. Steel Mills should drive the earnings step-up</w:t>
      </w:r>
    </w:p>
    <w:p>
      <w:pPr>
        <w:pStyle w:val="FirstParagraph"/>
      </w:pPr>
      <w:r>
        <w:t xml:space="preserve">Nucor’s guidance calls for its largest sequential profit increase in</w:t>
      </w:r>
      <w:r>
        <w:t xml:space="preserve"> </w:t>
      </w:r>
      <w:r>
        <w:rPr>
          <w:b/>
          <w:bCs/>
        </w:rPr>
        <w:t xml:space="preserve">Steel Mills</w:t>
      </w:r>
      <w:r>
        <w:t xml:space="preserve">, driven by</w:t>
      </w:r>
      <w:r>
        <w:t xml:space="preserve"> </w:t>
      </w:r>
      <w:r>
        <w:rPr>
          <w:b/>
          <w:bCs/>
        </w:rPr>
        <w:t xml:space="preserve">higher average selling prices and stable volumes</w:t>
      </w:r>
      <w:r>
        <w:t xml:space="preserve">. Sheet and plate were identified as the major contributors to the sequential improvement in management’s 1Q commentary. (</w:t>
      </w:r>
      <w:hyperlink r:id="rId9">
        <w:r>
          <w:rPr>
            <w:rStyle w:val="Hyperlink"/>
          </w:rPr>
          <w:t xml:space="preserve">investors.nucor.com</w:t>
        </w:r>
      </w:hyperlink>
      <w:r>
        <w:t xml:space="preserve">)</w:t>
      </w:r>
    </w:p>
    <w:p>
      <w:pPr>
        <w:pStyle w:val="BodyText"/>
      </w:pPr>
      <w:r>
        <w:t xml:space="preserve">The bull case is that Nucor has captured a healthier domestic steel-price environment without relying on an unsustainable surge in volumes. In 1Q, the company reported record Steel Mills shipments of</w:t>
      </w:r>
      <w:r>
        <w:t xml:space="preserve"> </w:t>
      </w:r>
      <w:r>
        <w:rPr>
          <w:b/>
          <w:bCs/>
        </w:rPr>
        <w:t xml:space="preserve">7.0 million tons</w:t>
      </w:r>
      <w:r>
        <w:t xml:space="preserve">, Steel Mills backlog of</w:t>
      </w:r>
      <w:r>
        <w:t xml:space="preserve"> </w:t>
      </w:r>
      <w:r>
        <w:rPr>
          <w:b/>
          <w:bCs/>
        </w:rPr>
        <w:t xml:space="preserve">4.7 million tons</w:t>
      </w:r>
      <w:r>
        <w:t xml:space="preserve">, and approximately</w:t>
      </w:r>
      <w:r>
        <w:t xml:space="preserve"> </w:t>
      </w:r>
      <w:r>
        <w:rPr>
          <w:b/>
          <w:bCs/>
        </w:rPr>
        <w:t xml:space="preserve">86% mill utilization</w:t>
      </w:r>
      <w:r>
        <w:t xml:space="preserve">. Its Steel Mills backlog was up 20% sequentially and at the highest level since 2Q21. (</w:t>
      </w:r>
      <w:hyperlink r:id="rId13">
        <w:r>
          <w:rPr>
            <w:rStyle w:val="Hyperlink"/>
          </w:rPr>
          <w:t xml:space="preserve">s202.q4cdn.com</w:t>
        </w:r>
      </w:hyperlink>
      <w:r>
        <w:t xml:space="preserve">)</w:t>
      </w:r>
    </w:p>
    <w:bookmarkEnd w:id="14"/>
    <w:bookmarkStart w:id="15" w:name="X7b04b8132278cd796af21068ca8557a31f48f9f"/>
    <w:p>
      <w:pPr>
        <w:pStyle w:val="Heading3"/>
      </w:pPr>
      <w:r>
        <w:t xml:space="preserve">2. Downstream businesses provide demand visibility</w:t>
      </w:r>
    </w:p>
    <w:p>
      <w:pPr>
        <w:pStyle w:val="FirstParagraph"/>
      </w:pPr>
      <w:r>
        <w:t xml:space="preserve">Nucor’s differentiated feature versus a pure flat-rolled producer is its breadth across fabrication and downstream steel products. The company has pointed to demand from:</w:t>
      </w:r>
    </w:p>
    <w:p>
      <w:pPr>
        <w:pStyle w:val="Compact"/>
        <w:numPr>
          <w:ilvl w:val="0"/>
          <w:numId w:val="1003"/>
        </w:numPr>
      </w:pPr>
      <w:r>
        <w:t xml:space="preserve">Data centers;</w:t>
      </w:r>
    </w:p>
    <w:p>
      <w:pPr>
        <w:pStyle w:val="Compact"/>
        <w:numPr>
          <w:ilvl w:val="0"/>
          <w:numId w:val="1003"/>
        </w:numPr>
      </w:pPr>
      <w:r>
        <w:t xml:space="preserve">Energy and power infrastructure;</w:t>
      </w:r>
    </w:p>
    <w:p>
      <w:pPr>
        <w:pStyle w:val="Compact"/>
        <w:numPr>
          <w:ilvl w:val="0"/>
          <w:numId w:val="1003"/>
        </w:numPr>
      </w:pPr>
      <w:r>
        <w:t xml:space="preserve">Utility transmission;</w:t>
      </w:r>
    </w:p>
    <w:p>
      <w:pPr>
        <w:pStyle w:val="Compact"/>
        <w:numPr>
          <w:ilvl w:val="0"/>
          <w:numId w:val="1003"/>
        </w:numPr>
      </w:pPr>
      <w:r>
        <w:t xml:space="preserve">Border-fence projects;</w:t>
      </w:r>
    </w:p>
    <w:p>
      <w:pPr>
        <w:pStyle w:val="Compact"/>
        <w:numPr>
          <w:ilvl w:val="0"/>
          <w:numId w:val="1003"/>
        </w:numPr>
      </w:pPr>
      <w:r>
        <w:t xml:space="preserve">Nonresidential construction;</w:t>
      </w:r>
    </w:p>
    <w:p>
      <w:pPr>
        <w:pStyle w:val="Compact"/>
        <w:numPr>
          <w:ilvl w:val="0"/>
          <w:numId w:val="1003"/>
        </w:numPr>
      </w:pPr>
      <w:r>
        <w:t xml:space="preserve">CHIPS-related projects; and</w:t>
      </w:r>
    </w:p>
    <w:p>
      <w:pPr>
        <w:pStyle w:val="Compact"/>
        <w:numPr>
          <w:ilvl w:val="0"/>
          <w:numId w:val="1003"/>
        </w:numPr>
      </w:pPr>
      <w:r>
        <w:t xml:space="preserve">Infrastructure and bridge construction.</w:t>
      </w:r>
    </w:p>
    <w:p>
      <w:pPr>
        <w:pStyle w:val="FirstParagraph"/>
      </w:pPr>
      <w:r>
        <w:t xml:space="preserve">In particular, management previously highlighted record backlogs in rebar and structural products, while joist-and-deck backlogs extended through the summer at pricing above then-current realized levels. (</w:t>
      </w:r>
      <w:hyperlink r:id="rId13">
        <w:r>
          <w:rPr>
            <w:rStyle w:val="Hyperlink"/>
          </w:rPr>
          <w:t xml:space="preserve">s202.q4cdn.com</w:t>
        </w:r>
      </w:hyperlink>
      <w:r>
        <w:t xml:space="preserve">)</w:t>
      </w:r>
    </w:p>
    <w:p>
      <w:pPr>
        <w:pStyle w:val="BodyText"/>
      </w:pPr>
      <w:r>
        <w:t xml:space="preserve">For this print, investors should want evidence that these backlogs are</w:t>
      </w:r>
      <w:r>
        <w:t xml:space="preserve"> </w:t>
      </w:r>
      <w:r>
        <w:rPr>
          <w:b/>
          <w:bCs/>
        </w:rPr>
        <w:t xml:space="preserve">converting into shipments and price realization</w:t>
      </w:r>
      <w:r>
        <w:t xml:space="preserve">, rather than merely supporting a long lead-time order book.</w:t>
      </w:r>
    </w:p>
    <w:bookmarkEnd w:id="15"/>
    <w:bookmarkStart w:id="16" w:name="Xa33a06d279cc170f40ee923820dc0aa81880890"/>
    <w:p>
      <w:pPr>
        <w:pStyle w:val="Heading3"/>
      </w:pPr>
      <w:r>
        <w:t xml:space="preserve">3. Trade enforcement remains a structural support—but is still a policy risk</w:t>
      </w:r>
    </w:p>
    <w:p>
      <w:pPr>
        <w:pStyle w:val="FirstParagraph"/>
      </w:pPr>
      <w:r>
        <w:t xml:space="preserve">Nucor entered 2026 arguing that lower import penetration and Section 232 enforcement were improving domestic market conditions. It cited finished carbon-and-alloy import share of approximately</w:t>
      </w:r>
      <w:r>
        <w:t xml:space="preserve"> </w:t>
      </w:r>
      <w:r>
        <w:rPr>
          <w:b/>
          <w:bCs/>
        </w:rPr>
        <w:t xml:space="preserve">15% in 1Q26</w:t>
      </w:r>
      <w:r>
        <w:t xml:space="preserve">. (</w:t>
      </w:r>
      <w:hyperlink r:id="rId13">
        <w:r>
          <w:rPr>
            <w:rStyle w:val="Hyperlink"/>
          </w:rPr>
          <w:t xml:space="preserve">s202.q4cdn.com</w:t>
        </w:r>
      </w:hyperlink>
      <w:r>
        <w:t xml:space="preserve">)</w:t>
      </w:r>
    </w:p>
    <w:p>
      <w:pPr>
        <w:pStyle w:val="BodyText"/>
      </w:pPr>
      <w:r>
        <w:t xml:space="preserve">That backdrop helps explain the company’s confidence in pricing and domestic demand. However, trade policy remains inherently volatile, and Nucor’s own risk disclosures identify changes in import policy, raw-material costs, energy costs, and nonresidential construction activity as key variables. (</w:t>
      </w:r>
      <w:hyperlink r:id="rId9">
        <w:r>
          <w:rPr>
            <w:rStyle w:val="Hyperlink"/>
          </w:rPr>
          <w:t xml:space="preserve">investors.nucor.com</w:t>
        </w:r>
      </w:hyperlink>
      <w:r>
        <w:t xml:space="preserve">)</w:t>
      </w:r>
    </w:p>
    <w:p>
      <w:r>
        <w:pict>
          <v:rect style="width:0;height:1.5pt" o:hralign="center" o:hrstd="t" o:hr="t"/>
        </w:pict>
      </w:r>
    </w:p>
    <w:bookmarkEnd w:id="16"/>
    <w:bookmarkEnd w:id="17"/>
    <w:bookmarkStart w:id="20" w:name="X8eba6edf710cd11f92acf30d4bc6a50cacb1bab"/>
    <w:p>
      <w:pPr>
        <w:pStyle w:val="Heading2"/>
      </w:pPr>
      <w:r>
        <w:t xml:space="preserve">The key swing factor: 3Q price and margin outlook</w:t>
      </w:r>
    </w:p>
    <w:p>
      <w:pPr>
        <w:pStyle w:val="FirstParagraph"/>
      </w:pPr>
      <w:r>
        <w:t xml:space="preserve">The core debate is not whether 2Q was better than 1Q—it was guided that way. The debate is whether the favorable pricing environment is durable enough to support</w:t>
      </w:r>
      <w:r>
        <w:t xml:space="preserve"> </w:t>
      </w:r>
      <w:r>
        <w:rPr>
          <w:b/>
          <w:bCs/>
        </w:rPr>
        <w:t xml:space="preserve">another leg of earnings strength in 3Q</w:t>
      </w:r>
      <w:r>
        <w:t xml:space="preserve">.</w:t>
      </w:r>
    </w:p>
    <w:bookmarkStart w:id="18" w:name="what-would-be-bullish"/>
    <w:p>
      <w:pPr>
        <w:pStyle w:val="Heading3"/>
      </w:pPr>
      <w:r>
        <w:t xml:space="preserve">What would be bullish</w:t>
      </w:r>
    </w:p>
    <w:p>
      <w:pPr>
        <w:pStyle w:val="Compact"/>
        <w:numPr>
          <w:ilvl w:val="0"/>
          <w:numId w:val="1004"/>
        </w:numPr>
      </w:pPr>
      <w:r>
        <w:t xml:space="preserve">Sheet and plate realized prices still rising sequentially in 3Q;</w:t>
      </w:r>
    </w:p>
    <w:p>
      <w:pPr>
        <w:pStyle w:val="Compact"/>
        <w:numPr>
          <w:ilvl w:val="0"/>
          <w:numId w:val="1004"/>
        </w:numPr>
      </w:pPr>
      <w:r>
        <w:t xml:space="preserve">Stable-to-improving order entry and lead times;</w:t>
      </w:r>
    </w:p>
    <w:p>
      <w:pPr>
        <w:pStyle w:val="Compact"/>
        <w:numPr>
          <w:ilvl w:val="0"/>
          <w:numId w:val="1004"/>
        </w:numPr>
      </w:pPr>
      <w:r>
        <w:t xml:space="preserve">Continued low imports;</w:t>
      </w:r>
    </w:p>
    <w:p>
      <w:pPr>
        <w:pStyle w:val="Compact"/>
        <w:numPr>
          <w:ilvl w:val="0"/>
          <w:numId w:val="1004"/>
        </w:numPr>
      </w:pPr>
      <w:r>
        <w:t xml:space="preserve">No meaningful deterioration in service-center demand or inventory discipline;</w:t>
      </w:r>
    </w:p>
    <w:p>
      <w:pPr>
        <w:pStyle w:val="Compact"/>
        <w:numPr>
          <w:ilvl w:val="0"/>
          <w:numId w:val="1004"/>
        </w:numPr>
      </w:pPr>
      <w:r>
        <w:t xml:space="preserve">Structural, rebar, joist/deck, tubing, and fabrication backlogs holding at elevated levels;</w:t>
      </w:r>
    </w:p>
    <w:p>
      <w:pPr>
        <w:pStyle w:val="Compact"/>
        <w:numPr>
          <w:ilvl w:val="0"/>
          <w:numId w:val="1004"/>
        </w:numPr>
      </w:pPr>
      <w:r>
        <w:t xml:space="preserve">Steel Products margins recovering as higher substrate costs are passed through;</w:t>
      </w:r>
    </w:p>
    <w:p>
      <w:pPr>
        <w:pStyle w:val="Compact"/>
        <w:numPr>
          <w:ilvl w:val="0"/>
          <w:numId w:val="1004"/>
        </w:numPr>
      </w:pPr>
      <w:r>
        <w:t xml:space="preserve">Confirmation that full-year shipment growth should exceed the prior</w:t>
      </w:r>
      <w:r>
        <w:t xml:space="preserve"> </w:t>
      </w:r>
      <w:r>
        <w:rPr>
          <w:b/>
          <w:bCs/>
        </w:rPr>
        <w:t xml:space="preserve">“more than 5%”</w:t>
      </w:r>
      <w:r>
        <w:t xml:space="preserve"> </w:t>
      </w:r>
      <w:r>
        <w:t xml:space="preserve">outlook.</w:t>
      </w:r>
    </w:p>
    <w:bookmarkEnd w:id="18"/>
    <w:bookmarkStart w:id="19" w:name="what-would-be-bearish"/>
    <w:p>
      <w:pPr>
        <w:pStyle w:val="Heading3"/>
      </w:pPr>
      <w:r>
        <w:t xml:space="preserve">What would be bearish</w:t>
      </w:r>
    </w:p>
    <w:p>
      <w:pPr>
        <w:pStyle w:val="Compact"/>
        <w:numPr>
          <w:ilvl w:val="0"/>
          <w:numId w:val="1005"/>
        </w:numPr>
      </w:pPr>
      <w:r>
        <w:t xml:space="preserve">Commentary that sheet pricing has peaked or that customer buying is becoming more cautious;</w:t>
      </w:r>
    </w:p>
    <w:p>
      <w:pPr>
        <w:pStyle w:val="Compact"/>
        <w:numPr>
          <w:ilvl w:val="0"/>
          <w:numId w:val="1005"/>
        </w:numPr>
      </w:pPr>
      <w:r>
        <w:t xml:space="preserve">Evidence of demand softness outside data centers and selected infrastructure projects;</w:t>
      </w:r>
    </w:p>
    <w:p>
      <w:pPr>
        <w:pStyle w:val="Compact"/>
        <w:numPr>
          <w:ilvl w:val="0"/>
          <w:numId w:val="1005"/>
        </w:numPr>
      </w:pPr>
      <w:r>
        <w:t xml:space="preserve">A reversal in scrap/metal spreads;</w:t>
      </w:r>
    </w:p>
    <w:p>
      <w:pPr>
        <w:pStyle w:val="Compact"/>
        <w:numPr>
          <w:ilvl w:val="0"/>
          <w:numId w:val="1005"/>
        </w:numPr>
      </w:pPr>
      <w:r>
        <w:t xml:space="preserve">Rising project commissioning, start-up, or pre-operating costs that dilute near-term earnings;</w:t>
      </w:r>
    </w:p>
    <w:p>
      <w:pPr>
        <w:pStyle w:val="Compact"/>
        <w:numPr>
          <w:ilvl w:val="0"/>
          <w:numId w:val="1005"/>
        </w:numPr>
      </w:pPr>
      <w:r>
        <w:t xml:space="preserve">Softer-than-expected outlook for downstream fabrication margins;</w:t>
      </w:r>
    </w:p>
    <w:p>
      <w:pPr>
        <w:pStyle w:val="Compact"/>
        <w:numPr>
          <w:ilvl w:val="0"/>
          <w:numId w:val="1005"/>
        </w:numPr>
      </w:pPr>
      <w:r>
        <w:t xml:space="preserve">A more cautious view of second-half volumes, especially given the strong 1Q shipment base.</w:t>
      </w:r>
    </w:p>
    <w:p>
      <w:r>
        <w:pict>
          <v:rect style="width:0;height:1.5pt" o:hralign="center" o:hrstd="t" o:hr="t"/>
        </w:pict>
      </w:r>
    </w:p>
    <w:bookmarkEnd w:id="19"/>
    <w:bookmarkEnd w:id="20"/>
    <w:bookmarkStart w:id="22" w:name="X3a8993351a57b00d594dbb591196aecb2dd4e3a"/>
    <w:p>
      <w:pPr>
        <w:pStyle w:val="Heading2"/>
      </w:pPr>
      <w:r>
        <w:t xml:space="preserve">Capital projects: long-term upside, near-term execution item</w:t>
      </w:r>
    </w:p>
    <w:p>
      <w:pPr>
        <w:pStyle w:val="FirstParagraph"/>
      </w:pPr>
      <w:r>
        <w:t xml:space="preserve">Nucor is still in a heavy investment phase, with approximately</w:t>
      </w:r>
      <w:r>
        <w:t xml:space="preserve"> </w:t>
      </w:r>
      <m:oMath>
        <m:r>
          <m:t>2.5</m:t>
        </m:r>
        <m:r>
          <m:t>b</m:t>
        </m:r>
        <m:r>
          <m:t>i</m:t>
        </m:r>
        <m:r>
          <m:t>l</m:t>
        </m:r>
        <m:r>
          <m:t>l</m:t>
        </m:r>
        <m:r>
          <m:t>i</m:t>
        </m:r>
        <m:r>
          <m:t>o</m:t>
        </m:r>
        <m:r>
          <m:t>n</m:t>
        </m:r>
        <m:r>
          <m:rPr>
            <m:sty m:val="p"/>
          </m:rPr>
          <m:t>*</m:t>
        </m:r>
        <m:r>
          <m:rPr>
            <m:sty m:val="p"/>
          </m:rPr>
          <m:t>*</m:t>
        </m:r>
        <m:r>
          <m:t>o</m:t>
        </m:r>
        <m:r>
          <m:t>f</m:t>
        </m:r>
        <m:r>
          <m:t>p</m:t>
        </m:r>
        <m:r>
          <m:t>l</m:t>
        </m:r>
        <m:r>
          <m:t>a</m:t>
        </m:r>
        <m:r>
          <m:t>n</m:t>
        </m:r>
        <m:r>
          <m:t>n</m:t>
        </m:r>
        <m:r>
          <m:t>e</m:t>
        </m:r>
        <m:r>
          <m:t>d</m:t>
        </m:r>
        <m:r>
          <m:t>2026</m:t>
        </m:r>
        <m:r>
          <m:t>c</m:t>
        </m:r>
        <m:r>
          <m:t>a</m:t>
        </m:r>
        <m:r>
          <m:t>p</m:t>
        </m:r>
        <m:r>
          <m:t>i</m:t>
        </m:r>
        <m:r>
          <m:t>t</m:t>
        </m:r>
        <m:r>
          <m:t>a</m:t>
        </m:r>
        <m:r>
          <m:t>l</m:t>
        </m:r>
        <m:r>
          <m:t>e</m:t>
        </m:r>
        <m:r>
          <m:t>x</m:t>
        </m:r>
        <m:r>
          <m:t>p</m:t>
        </m:r>
        <m:r>
          <m:t>e</m:t>
        </m:r>
        <m:r>
          <m:t>n</m:t>
        </m:r>
        <m:r>
          <m:t>d</m:t>
        </m:r>
        <m:r>
          <m:t>i</m:t>
        </m:r>
        <m:r>
          <m:t>t</m:t>
        </m:r>
        <m:r>
          <m:t>u</m:t>
        </m:r>
        <m:r>
          <m:t>r</m:t>
        </m:r>
        <m:r>
          <m:t>e</m:t>
        </m:r>
        <m:r>
          <m:t>s</m:t>
        </m:r>
        <m:r>
          <m:rPr>
            <m:sty m:val="p"/>
          </m:rPr>
          <m:t>.</m:t>
        </m:r>
        <m:r>
          <m:t>T</m:t>
        </m:r>
        <m:r>
          <m:t>h</m:t>
        </m:r>
        <m:r>
          <m:t>e</m:t>
        </m:r>
        <m:r>
          <m:t>c</m:t>
        </m:r>
        <m:r>
          <m:t>e</m:t>
        </m:r>
        <m:r>
          <m:t>n</m:t>
        </m:r>
        <m:r>
          <m:t>t</m:t>
        </m:r>
        <m:r>
          <m:t>e</m:t>
        </m:r>
        <m:r>
          <m:t>r</m:t>
        </m:r>
        <m:r>
          <m:t>p</m:t>
        </m:r>
        <m:r>
          <m:t>i</m:t>
        </m:r>
        <m:r>
          <m:t>e</m:t>
        </m:r>
        <m:r>
          <m:t>c</m:t>
        </m:r>
        <m:r>
          <m:t>e</m:t>
        </m:r>
        <m:r>
          <m:t>i</m:t>
        </m:r>
        <m:r>
          <m:t>s</m:t>
        </m:r>
        <m:r>
          <m:t>t</m:t>
        </m:r>
        <m:r>
          <m:t>h</m:t>
        </m:r>
        <m:r>
          <m:t>e</m:t>
        </m:r>
        <m:r>
          <m:rPr>
            <m:sty m:val="p"/>
          </m:rPr>
          <m:t>*</m:t>
        </m:r>
        <m:r>
          <m:rPr>
            <m:sty m:val="p"/>
          </m:rPr>
          <m:t>*</m:t>
        </m:r>
        <m:r>
          <m:t>3</m:t>
        </m:r>
        <m:r>
          <m:t>m</m:t>
        </m:r>
        <m:r>
          <m:t>i</m:t>
        </m:r>
        <m:r>
          <m:t>l</m:t>
        </m:r>
        <m:r>
          <m:t>l</m:t>
        </m:r>
        <m:r>
          <m:t>i</m:t>
        </m:r>
        <m:r>
          <m:t>o</m:t>
        </m:r>
        <m:r>
          <m:t>n</m:t>
        </m:r>
        <m:r>
          <m:rPr>
            <m:sty m:val="p"/>
          </m:rPr>
          <m:t>−</m:t>
        </m:r>
        <m:r>
          <m:t>t</m:t>
        </m:r>
        <m:r>
          <m:t>o</m:t>
        </m:r>
        <m:r>
          <m:t>n</m:t>
        </m:r>
        <m:r>
          <m:rPr>
            <m:sty m:val="p"/>
          </m:rPr>
          <m:t>−</m:t>
        </m:r>
        <m:r>
          <m:t>p</m:t>
        </m:r>
        <m:r>
          <m:t>e</m:t>
        </m:r>
        <m:r>
          <m:t>r</m:t>
        </m:r>
        <m:r>
          <m:rPr>
            <m:sty m:val="p"/>
          </m:rPr>
          <m:t>−</m:t>
        </m:r>
        <m:r>
          <m:t>y</m:t>
        </m:r>
        <m:r>
          <m:t>e</m:t>
        </m:r>
        <m:r>
          <m:t>a</m:t>
        </m:r>
        <m:r>
          <m:t>r</m:t>
        </m:r>
        <m:r>
          <m:t>W</m:t>
        </m:r>
        <m:r>
          <m:t>e</m:t>
        </m:r>
        <m:r>
          <m:t>s</m:t>
        </m:r>
        <m:r>
          <m:t>t</m:t>
        </m:r>
        <m:r>
          <m:t>V</m:t>
        </m:r>
        <m:r>
          <m:t>i</m:t>
        </m:r>
        <m:r>
          <m:t>r</m:t>
        </m:r>
        <m:r>
          <m:t>g</m:t>
        </m:r>
        <m:r>
          <m:t>i</m:t>
        </m:r>
        <m:r>
          <m:t>n</m:t>
        </m:r>
        <m:r>
          <m:t>i</m:t>
        </m:r>
        <m:r>
          <m:t>a</m:t>
        </m:r>
        <m:r>
          <m:t>s</m:t>
        </m:r>
        <m:r>
          <m:t>h</m:t>
        </m:r>
        <m:r>
          <m:t>e</m:t>
        </m:r>
        <m:r>
          <m:t>e</m:t>
        </m:r>
        <m:r>
          <m:t>t</m:t>
        </m:r>
        <m:r>
          <m:t>m</m:t>
        </m:r>
        <m:r>
          <m:t>i</m:t>
        </m:r>
        <m:r>
          <m:t>l</m:t>
        </m:r>
        <m:r>
          <m:t>l</m:t>
        </m:r>
        <m:r>
          <m:rPr>
            <m:sty m:val="p"/>
          </m:rPr>
          <m:t>*</m:t>
        </m:r>
        <m:r>
          <m:rPr>
            <m:sty m:val="p"/>
          </m:rPr>
          <m:t>*</m:t>
        </m:r>
        <m:r>
          <m:rPr>
            <m:sty m:val="p"/>
          </m:rPr>
          <m:t>,</m:t>
        </m:r>
        <m:r>
          <m:t>w</m:t>
        </m:r>
        <m:r>
          <m:t>i</m:t>
        </m:r>
        <m:r>
          <m:t>t</m:t>
        </m:r>
        <m:r>
          <m:t>h</m:t>
        </m:r>
        <m:r>
          <m:t>r</m:t>
        </m:r>
        <m:r>
          <m:t>o</m:t>
        </m:r>
        <m:r>
          <m:t>u</m:t>
        </m:r>
        <m:r>
          <m:t>g</m:t>
        </m:r>
        <m:r>
          <m:t>h</m:t>
        </m:r>
        <m:r>
          <m:t>l</m:t>
        </m:r>
        <m:r>
          <m:t>y</m:t>
        </m:r>
        <m:r>
          <m:rPr>
            <m:sty m:val="p"/>
          </m:rPr>
          <m:t>*</m:t>
        </m:r>
        <m:r>
          <m:rPr>
            <m:sty m:val="p"/>
          </m:rPr>
          <m:t>*</m:t>
        </m:r>
      </m:oMath>
      <w:r>
        <w:rPr>
          <w:b/>
          <w:bCs/>
        </w:rPr>
        <w:t xml:space="preserve">950 million</w:t>
      </w:r>
      <w:r>
        <w:t xml:space="preserve"> </w:t>
      </w:r>
      <w:r>
        <w:t xml:space="preserve">of 2026 capex and expected completion late in the year. The project is strategically important because it expands Nucor’s presence in major Midwest and Northeast sheet-consuming markets. (</w:t>
      </w:r>
      <w:hyperlink r:id="rId13">
        <w:r>
          <w:rPr>
            <w:rStyle w:val="Hyperlink"/>
          </w:rPr>
          <w:t xml:space="preserve">s202.q4cdn.com</w:t>
        </w:r>
      </w:hyperlink>
      <w:r>
        <w:t xml:space="preserve">)</w:t>
      </w:r>
    </w:p>
    <w:p>
      <w:pPr>
        <w:pStyle w:val="BodyText"/>
      </w:pPr>
      <w:r>
        <w:t xml:space="preserve">The near-term trade-off is clear:</w:t>
      </w:r>
    </w:p>
    <w:p>
      <w:pPr>
        <w:pStyle w:val="Compact"/>
        <w:numPr>
          <w:ilvl w:val="0"/>
          <w:numId w:val="1006"/>
        </w:numPr>
      </w:pPr>
      <w:r>
        <w:rPr>
          <w:b/>
          <w:bCs/>
        </w:rPr>
        <w:t xml:space="preserve">Positive:</w:t>
      </w:r>
      <w:r>
        <w:t xml:space="preserve"> </w:t>
      </w:r>
      <w:r>
        <w:t xml:space="preserve">Greater sheet capability, higher-value automotive/consumer-durable exposure, and a future volume-growth platform.</w:t>
      </w:r>
    </w:p>
    <w:p>
      <w:pPr>
        <w:pStyle w:val="Compact"/>
        <w:numPr>
          <w:ilvl w:val="0"/>
          <w:numId w:val="1006"/>
        </w:numPr>
      </w:pPr>
      <w:r>
        <w:rPr>
          <w:b/>
          <w:bCs/>
        </w:rPr>
        <w:t xml:space="preserve">Risk:</w:t>
      </w:r>
      <w:r>
        <w:t xml:space="preserve"> </w:t>
      </w:r>
      <w:r>
        <w:t xml:space="preserve">Start-up costs, execution risk, and a likely gradual rather than immediate earnings ramp.</w:t>
      </w:r>
    </w:p>
    <w:p>
      <w:pPr>
        <w:pStyle w:val="FirstParagraph"/>
      </w:pPr>
      <w:r>
        <w:t xml:space="preserve">Management’s prior plan was to finish commissioning during 2026, begin commercial shipments in early 2027, and ramp output through 2027–28. Therefore, the most relevant 2Q call question is whether commissioning remains on schedule and whether start-up costs remain consistent with prior expectations. (</w:t>
      </w:r>
      <w:hyperlink r:id="rId21">
        <w:r>
          <w:rPr>
            <w:rStyle w:val="Hyperlink"/>
          </w:rPr>
          <w:t xml:space="preserve">s202.q4cdn.com</w:t>
        </w:r>
      </w:hyperlink>
      <w:r>
        <w:t xml:space="preserve">)</w:t>
      </w:r>
    </w:p>
    <w:p>
      <w:r>
        <w:pict>
          <v:rect style="width:0;height:1.5pt" o:hralign="center" o:hrstd="t" o:hr="t"/>
        </w:pict>
      </w:r>
    </w:p>
    <w:bookmarkEnd w:id="22"/>
    <w:bookmarkStart w:id="24" w:name="capital-return-and-balance-sheet-support"/>
    <w:p>
      <w:pPr>
        <w:pStyle w:val="Heading2"/>
      </w:pPr>
      <w:r>
        <w:t xml:space="preserve">Capital return and balance-sheet support</w:t>
      </w:r>
    </w:p>
    <w:p>
      <w:pPr>
        <w:pStyle w:val="FirstParagraph"/>
      </w:pPr>
      <w:r>
        <w:t xml:space="preserve">Nucor retains substantial financial flexibility. At the end of 1Q, it had about</w:t>
      </w:r>
      <w:r>
        <w:t xml:space="preserve"> </w:t>
      </w:r>
      <m:oMath>
        <m:r>
          <m:t>2.48</m:t>
        </m:r>
        <m:r>
          <m:t>b</m:t>
        </m:r>
        <m:r>
          <m:t>i</m:t>
        </m:r>
        <m:r>
          <m:t>l</m:t>
        </m:r>
        <m:r>
          <m:t>l</m:t>
        </m:r>
        <m:r>
          <m:t>i</m:t>
        </m:r>
        <m:r>
          <m:t>o</m:t>
        </m:r>
        <m:r>
          <m:t>n</m:t>
        </m:r>
        <m:r>
          <m:rPr>
            <m:sty m:val="p"/>
          </m:rPr>
          <m:t>*</m:t>
        </m:r>
        <m:r>
          <m:rPr>
            <m:sty m:val="p"/>
          </m:rPr>
          <m:t>*</m:t>
        </m:r>
        <m:r>
          <m:t>o</m:t>
        </m:r>
        <m:r>
          <m:t>f</m:t>
        </m:r>
        <m:r>
          <m:t>c</m:t>
        </m:r>
        <m:r>
          <m:t>a</m:t>
        </m:r>
        <m:r>
          <m:t>s</m:t>
        </m:r>
        <m:r>
          <m:t>h</m:t>
        </m:r>
        <m:r>
          <m:t>a</m:t>
        </m:r>
        <m:r>
          <m:t>n</m:t>
        </m:r>
        <m:r>
          <m:t>d</m:t>
        </m:r>
        <m:r>
          <m:t>s</m:t>
        </m:r>
        <m:r>
          <m:t>h</m:t>
        </m:r>
        <m:r>
          <m:t>o</m:t>
        </m:r>
        <m:r>
          <m:t>r</m:t>
        </m:r>
        <m:r>
          <m:t>t</m:t>
        </m:r>
        <m:r>
          <m:rPr>
            <m:sty m:val="p"/>
          </m:rPr>
          <m:t>−</m:t>
        </m:r>
        <m:r>
          <m:t>t</m:t>
        </m:r>
        <m:r>
          <m:t>e</m:t>
        </m:r>
        <m:r>
          <m:t>r</m:t>
        </m:r>
        <m:r>
          <m:t>m</m:t>
        </m:r>
        <m:r>
          <m:t>i</m:t>
        </m:r>
        <m:r>
          <m:t>n</m:t>
        </m:r>
        <m:r>
          <m:t>v</m:t>
        </m:r>
        <m:r>
          <m:t>e</m:t>
        </m:r>
        <m:r>
          <m:t>s</m:t>
        </m:r>
        <m:r>
          <m:t>t</m:t>
        </m:r>
        <m:r>
          <m:t>m</m:t>
        </m:r>
        <m:r>
          <m:t>e</m:t>
        </m:r>
        <m:r>
          <m:t>n</m:t>
        </m:r>
        <m:r>
          <m:t>t</m:t>
        </m:r>
        <m:r>
          <m:t>s</m:t>
        </m:r>
        <m:r>
          <m:rPr>
            <m:sty m:val="p"/>
          </m:rPr>
          <m:t>,</m:t>
        </m:r>
        <m:r>
          <m:t>a</m:t>
        </m:r>
        <m:r>
          <m:t>n</m:t>
        </m:r>
        <m:r>
          <m:t>u</m:t>
        </m:r>
        <m:r>
          <m:t>n</m:t>
        </m:r>
        <m:r>
          <m:t>d</m:t>
        </m:r>
        <m:r>
          <m:t>r</m:t>
        </m:r>
        <m:r>
          <m:t>a</m:t>
        </m:r>
        <m:r>
          <m:t>w</m:t>
        </m:r>
        <m:r>
          <m:t>n</m:t>
        </m:r>
        <m:r>
          <m:rPr>
            <m:sty m:val="p"/>
          </m:rPr>
          <m:t>*</m:t>
        </m:r>
        <m:r>
          <m:rPr>
            <m:sty m:val="p"/>
          </m:rPr>
          <m:t>*</m:t>
        </m:r>
      </m:oMath>
      <w:r>
        <w:rPr>
          <w:b/>
          <w:bCs/>
        </w:rPr>
        <w:t xml:space="preserve">2.25 billion revolver</w:t>
      </w:r>
      <w:r>
        <w:t xml:space="preserve">, and a new</w:t>
      </w:r>
      <w:r>
        <w:t xml:space="preserve"> </w:t>
      </w:r>
      <w:r>
        <w:rPr>
          <w:b/>
          <w:bCs/>
        </w:rPr>
        <w:t xml:space="preserve">$4 billion</w:t>
      </w:r>
      <w:r>
        <w:t xml:space="preserve"> </w:t>
      </w:r>
      <w:r>
        <w:t xml:space="preserve">share-repurchase authorization with approximately $3.97 billion remaining at quarter-end. (</w:t>
      </w:r>
      <w:hyperlink r:id="rId23">
        <w:r>
          <w:rPr>
            <w:rStyle w:val="Hyperlink"/>
          </w:rPr>
          <w:t xml:space="preserve">investors.nucor.com</w:t>
        </w:r>
      </w:hyperlink>
      <w:r>
        <w:t xml:space="preserve">)</w:t>
      </w:r>
    </w:p>
    <w:p>
      <w:pPr>
        <w:pStyle w:val="BodyText"/>
      </w:pPr>
      <w:r>
        <w:t xml:space="preserve">The company was also active in 2Q before the June guidance date, repurchasing approximately</w:t>
      </w:r>
      <w:r>
        <w:t xml:space="preserve"> </w:t>
      </w:r>
      <w:r>
        <w:rPr>
          <w:b/>
          <w:bCs/>
        </w:rPr>
        <w:t xml:space="preserve">1.12 million shares</w:t>
      </w:r>
      <w:r>
        <w:t xml:space="preserve"> </w:t>
      </w:r>
      <w:r>
        <w:t xml:space="preserve">at an average price of</w:t>
      </w:r>
      <w:r>
        <w:t xml:space="preserve"> </w:t>
      </w:r>
      <m:oMath>
        <m:r>
          <m:t>223.47</m:t>
        </m:r>
        <m:r>
          <m:rPr>
            <m:sty m:val="p"/>
          </m:rPr>
          <m:t>*</m:t>
        </m:r>
        <m:r>
          <m:rPr>
            <m:sty m:val="p"/>
          </m:rPr>
          <m:t>*</m:t>
        </m:r>
        <m:r>
          <m:t>a</m:t>
        </m:r>
        <m:r>
          <m:t>n</m:t>
        </m:r>
        <m:r>
          <m:t>d</m:t>
        </m:r>
        <m:r>
          <m:t>r</m:t>
        </m:r>
        <m:r>
          <m:t>e</m:t>
        </m:r>
        <m:r>
          <m:t>t</m:t>
        </m:r>
        <m:r>
          <m:t>u</m:t>
        </m:r>
        <m:r>
          <m:t>r</m:t>
        </m:r>
        <m:r>
          <m:t>n</m:t>
        </m:r>
        <m:r>
          <m:t>i</m:t>
        </m:r>
        <m:r>
          <m:t>n</m:t>
        </m:r>
        <m:r>
          <m:t>g</m:t>
        </m:r>
        <m:r>
          <m:t>a</m:t>
        </m:r>
        <m:r>
          <m:t>p</m:t>
        </m:r>
        <m:r>
          <m:t>p</m:t>
        </m:r>
        <m:r>
          <m:t>r</m:t>
        </m:r>
        <m:r>
          <m:t>o</m:t>
        </m:r>
        <m:r>
          <m:t>x</m:t>
        </m:r>
        <m:r>
          <m:t>i</m:t>
        </m:r>
        <m:r>
          <m:t>m</m:t>
        </m:r>
        <m:r>
          <m:t>a</m:t>
        </m:r>
        <m:r>
          <m:t>t</m:t>
        </m:r>
        <m:r>
          <m:t>e</m:t>
        </m:r>
        <m:r>
          <m:t>l</m:t>
        </m:r>
        <m:r>
          <m:t>y</m:t>
        </m:r>
        <m:r>
          <m:rPr>
            <m:sty m:val="p"/>
          </m:rPr>
          <m:t>*</m:t>
        </m:r>
        <m:r>
          <m:rPr>
            <m:sty m:val="p"/>
          </m:rPr>
          <m:t>*</m:t>
        </m:r>
      </m:oMath>
      <w:r>
        <w:rPr>
          <w:b/>
          <w:bCs/>
        </w:rPr>
        <w:t xml:space="preserve">630 million</w:t>
      </w:r>
      <w:r>
        <w:t xml:space="preserve"> </w:t>
      </w:r>
      <w:r>
        <w:t xml:space="preserve">through dividends and buybacks year to date. (</w:t>
      </w:r>
      <w:hyperlink r:id="rId9">
        <w:r>
          <w:rPr>
            <w:rStyle w:val="Hyperlink"/>
          </w:rPr>
          <w:t xml:space="preserve">investors.nucor.com</w:t>
        </w:r>
      </w:hyperlink>
      <w:r>
        <w:t xml:space="preserve">)</w:t>
      </w:r>
    </w:p>
    <w:p>
      <w:pPr>
        <w:pStyle w:val="BodyText"/>
      </w:pPr>
      <w:r>
        <w:t xml:space="preserve">That creates downside support, although buybacks alone are unlikely to offset a meaningful turn in the steel cycle.</w:t>
      </w:r>
    </w:p>
    <w:p>
      <w:r>
        <w:pict>
          <v:rect style="width:0;height:1.5pt" o:hralign="center" o:hrstd="t" o:hr="t"/>
        </w:pict>
      </w:r>
    </w:p>
    <w:bookmarkEnd w:id="24"/>
    <w:bookmarkStart w:id="25" w:name="expectations-are-no-longer-low"/>
    <w:p>
      <w:pPr>
        <w:pStyle w:val="Heading2"/>
      </w:pPr>
      <w:r>
        <w:t xml:space="preserve">Expectations are no longer low</w:t>
      </w:r>
    </w:p>
    <w:p>
      <w:pPr>
        <w:pStyle w:val="FirstParagraph"/>
      </w:pPr>
      <w:r>
        <w:t xml:space="preserve">NUE closed at</w:t>
      </w:r>
      <w:r>
        <w:t xml:space="preserve"> </w:t>
      </w:r>
      <w:r>
        <w:rPr>
          <w:b/>
          <w:bCs/>
        </w:rPr>
        <w:t xml:space="preserve">$247.60 on Friday, July 24</w:t>
      </w:r>
      <w:r>
        <w:t xml:space="preserve">, up roughly</w:t>
      </w:r>
      <w:r>
        <w:t xml:space="preserve"> </w:t>
      </w:r>
      <w:r>
        <w:rPr>
          <w:b/>
          <w:bCs/>
        </w:rPr>
        <w:t xml:space="preserve">52% from December 31, 2025</w:t>
      </w:r>
      <w:r>
        <w:t xml:space="preserve"> </w:t>
      </w:r>
      <w:r>
        <w:t xml:space="preserve">and about</w:t>
      </w:r>
      <w:r>
        <w:t xml:space="preserve"> </w:t>
      </w:r>
      <w:r>
        <w:rPr>
          <w:b/>
          <w:bCs/>
        </w:rPr>
        <w:t xml:space="preserve">11% from June 30</w:t>
      </w:r>
      <w:r>
        <w:t xml:space="preserve">. The share-price move reflects the improving steel backdrop, a rising earnings outlook, trade-policy support, and confidence in Nucor’s project pipeline.</w:t>
      </w:r>
    </w:p>
    <w:p>
      <w:pPr>
        <w:pStyle w:val="BodyText"/>
      </w:pPr>
      <w:r>
        <w:t xml:space="preserve">That makes this a more demanding event: investors likely need confirmation that strong 2Q profitability is</w:t>
      </w:r>
      <w:r>
        <w:t xml:space="preserve"> </w:t>
      </w:r>
      <w:r>
        <w:rPr>
          <w:b/>
          <w:bCs/>
        </w:rPr>
        <w:t xml:space="preserve">not just a guided, one-quarter peak aided by discrete items</w:t>
      </w:r>
      <w:r>
        <w:t xml:space="preserve">, but the beginning of a more durable period of higher steel margins, greater volumes, and improving free cash flow.</w:t>
      </w:r>
    </w:p>
    <w:p>
      <w:r>
        <w:pict>
          <v:rect style="width:0;height:1.5pt" o:hralign="center" o:hrstd="t" o:hr="t"/>
        </w:pict>
      </w:r>
    </w:p>
    <w:bookmarkEnd w:id="25"/>
    <w:bookmarkStart w:id="26" w:name="what-i-would-listen-for-on-the-call"/>
    <w:p>
      <w:pPr>
        <w:pStyle w:val="Heading2"/>
      </w:pPr>
      <w:r>
        <w:t xml:space="preserve">What I would listen for on the call</w:t>
      </w:r>
    </w:p>
    <w:p>
      <w:pPr>
        <w:pStyle w:val="Compact"/>
        <w:numPr>
          <w:ilvl w:val="0"/>
          <w:numId w:val="1007"/>
        </w:numPr>
      </w:pPr>
      <w:r>
        <w:rPr>
          <w:b/>
          <w:bCs/>
        </w:rPr>
        <w:t xml:space="preserve">3Q sheet, plate, and long-product pricing:</w:t>
      </w:r>
      <w:r>
        <w:t xml:space="preserve"> </w:t>
      </w:r>
      <w:r>
        <w:t xml:space="preserve">Are realized prices still rising, flat, or rolling over?</w:t>
      </w:r>
    </w:p>
    <w:p>
      <w:pPr>
        <w:pStyle w:val="Compact"/>
        <w:numPr>
          <w:ilvl w:val="0"/>
          <w:numId w:val="1007"/>
        </w:numPr>
      </w:pPr>
      <w:r>
        <w:rPr>
          <w:b/>
          <w:bCs/>
        </w:rPr>
        <w:t xml:space="preserve">Order-book trends since July 4:</w:t>
      </w:r>
      <w:r>
        <w:t xml:space="preserve"> </w:t>
      </w:r>
      <w:r>
        <w:t xml:space="preserve">Has demand held up through July, given the quarter ended more than three weeks before the earnings release?</w:t>
      </w:r>
    </w:p>
    <w:p>
      <w:pPr>
        <w:pStyle w:val="Compact"/>
        <w:numPr>
          <w:ilvl w:val="0"/>
          <w:numId w:val="1007"/>
        </w:numPr>
      </w:pPr>
      <w:r>
        <w:rPr>
          <w:b/>
          <w:bCs/>
        </w:rPr>
        <w:t xml:space="preserve">Volumes and utilization:</w:t>
      </w:r>
      <w:r>
        <w:t xml:space="preserve"> </w:t>
      </w:r>
      <w:r>
        <w:t xml:space="preserve">Does management still expect 2026 shipment growth above 5%, and is upside toward high-single-digit growth plausible?</w:t>
      </w:r>
    </w:p>
    <w:p>
      <w:pPr>
        <w:pStyle w:val="Compact"/>
        <w:numPr>
          <w:ilvl w:val="0"/>
          <w:numId w:val="1007"/>
        </w:numPr>
      </w:pPr>
      <w:r>
        <w:rPr>
          <w:b/>
          <w:bCs/>
        </w:rPr>
        <w:t xml:space="preserve">Steel Products margins:</w:t>
      </w:r>
      <w:r>
        <w:t xml:space="preserve"> </w:t>
      </w:r>
      <w:r>
        <w:t xml:space="preserve">Are lagging downstream prices now catching up to higher substrate costs?</w:t>
      </w:r>
    </w:p>
    <w:p>
      <w:pPr>
        <w:pStyle w:val="Compact"/>
        <w:numPr>
          <w:ilvl w:val="0"/>
          <w:numId w:val="1007"/>
        </w:numPr>
      </w:pPr>
      <w:r>
        <w:rPr>
          <w:b/>
          <w:bCs/>
        </w:rPr>
        <w:t xml:space="preserve">Raw-material refund:</w:t>
      </w:r>
      <w:r>
        <w:t xml:space="preserve"> </w:t>
      </w:r>
      <w:r>
        <w:t xml:space="preserve">Is the $130 million benefit truly isolated, and what does underlying Steel Mills profitability look like absent that item?</w:t>
      </w:r>
    </w:p>
    <w:p>
      <w:pPr>
        <w:pStyle w:val="Compact"/>
        <w:numPr>
          <w:ilvl w:val="0"/>
          <w:numId w:val="1007"/>
        </w:numPr>
      </w:pPr>
      <w:r>
        <w:rPr>
          <w:b/>
          <w:bCs/>
        </w:rPr>
        <w:t xml:space="preserve">West Virginia sheet mill:</w:t>
      </w:r>
      <w:r>
        <w:t xml:space="preserve"> </w:t>
      </w:r>
      <w:r>
        <w:t xml:space="preserve">Is commissioning on schedule, and what should investors expect for 2027 start-up costs and volume ramp?</w:t>
      </w:r>
    </w:p>
    <w:p>
      <w:pPr>
        <w:pStyle w:val="Compact"/>
        <w:numPr>
          <w:ilvl w:val="0"/>
          <w:numId w:val="1007"/>
        </w:numPr>
      </w:pPr>
      <w:r>
        <w:rPr>
          <w:b/>
          <w:bCs/>
        </w:rPr>
        <w:t xml:space="preserve">Capital allocation:</w:t>
      </w:r>
      <w:r>
        <w:t xml:space="preserve"> </w:t>
      </w:r>
      <w:r>
        <w:t xml:space="preserve">Will rising cash generation translate into materially larger buybacks after 2026 capex moderates?</w:t>
      </w:r>
    </w:p>
    <w:bookmarkEnd w:id="26"/>
    <w:bookmarkStart w:id="27" w:name="investment-view-into-the-print"/>
    <w:p>
      <w:pPr>
        <w:pStyle w:val="Heading2"/>
      </w:pPr>
      <w:r>
        <w:t xml:space="preserve">Investment view into the print</w:t>
      </w:r>
    </w:p>
    <w:p>
      <w:pPr>
        <w:pStyle w:val="FirstParagraph"/>
      </w:pPr>
      <w:r>
        <w:rPr>
          <w:b/>
          <w:bCs/>
        </w:rPr>
        <w:t xml:space="preserve">Constructive fundamentals; elevated event bar.</w:t>
      </w:r>
      <w:r>
        <w:t xml:space="preserve"> </w:t>
      </w:r>
      <w:r>
        <w:t xml:space="preserve">Nucor has one of the better setups in U.S. steel because of its low-cost EAF footprint, downstream product breadth, balance-sheet flexibility, and exposure to nonresidential/infrastructure-led demand. But because 2Q EPS has already been explicitly guided and includes both a Helion mark-up and a meaningful raw-material refund, the market’s reaction should be driven predominantly by management’s confidence in</w:t>
      </w:r>
      <w:r>
        <w:t xml:space="preserve"> </w:t>
      </w:r>
      <w:r>
        <w:rPr>
          <w:b/>
          <w:bCs/>
        </w:rPr>
        <w:t xml:space="preserve">3Q pricing, volume, and margin durability</w:t>
      </w:r>
      <w:r>
        <w:t xml:space="preserve">.</w:t>
      </w:r>
    </w:p>
    <w:p>
      <w:pPr>
        <w:pStyle w:val="BodyText"/>
      </w:pPr>
      <w:r>
        <w:t xml:space="preserve">The cleanest bullish outcome is:</w:t>
      </w:r>
      <w:r>
        <w:t xml:space="preserve"> </w:t>
      </w:r>
      <w:r>
        <w:rPr>
          <w:b/>
          <w:bCs/>
        </w:rPr>
        <w:t xml:space="preserve">in-line-to-better 2Q results, a clear explanation of normalized earnings, firm backlogs, stable import conditions, and constructive 3Q commentary.</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s.nucor.com/news/news-details/2026/Nucor-Announces-Guidance-for-the-Second-Quarter-of-2026-Earnings/default.aspx" TargetMode="External" /><Relationship Type="http://schemas.openxmlformats.org/officeDocument/2006/relationships/hyperlink" Id="rId23" Target="https://investors.nucor.com/news/news-details/2026/Nucor-Reports-Results-for-the-First-Quarter-of-2026/default.aspx" TargetMode="External" /><Relationship Type="http://schemas.openxmlformats.org/officeDocument/2006/relationships/hyperlink" Id="rId13" Target="https://s202.q4cdn.com/531038915/files/doc_presentations/2026/Jun/15/Nucor-Overview-Deck_vF.pdf" TargetMode="External" /><Relationship Type="http://schemas.openxmlformats.org/officeDocument/2006/relationships/hyperlink" Id="rId21" Target="https://s202.q4cdn.com/531038915/files/doc_presentations/2026/Jun/15/Nucor-Overview-Deck_vF.pdf?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s.nucor.com/news/news-details/2026/Nucor-Announces-Guidance-for-the-Second-Quarter-of-2026-Earnings/default.aspx" TargetMode="External" /><Relationship Type="http://schemas.openxmlformats.org/officeDocument/2006/relationships/hyperlink" Id="rId23" Target="https://investors.nucor.com/news/news-details/2026/Nucor-Reports-Results-for-the-First-Quarter-of-2026/default.aspx" TargetMode="External" /><Relationship Type="http://schemas.openxmlformats.org/officeDocument/2006/relationships/hyperlink" Id="rId13" Target="https://s202.q4cdn.com/531038915/files/doc_presentations/2026/Jun/15/Nucor-Overview-Deck_vF.pdf" TargetMode="External" /><Relationship Type="http://schemas.openxmlformats.org/officeDocument/2006/relationships/hyperlink" Id="rId21" Target="https://s202.q4cdn.com/531038915/files/doc_presentations/2026/Jun/15/Nucor-Overview-Deck_vF.pdf?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2026-07-27T00:17:41Z</dcterms:created>
  <dcterms:modified xsi:type="dcterms:W3CDTF">2026-07-27T00:17:41Z</dcterms:modified>
</cp:coreProperties>
</file>

<file path=docProps/custom.xml><?xml version="1.0" encoding="utf-8"?>
<Properties xmlns="http://schemas.openxmlformats.org/officeDocument/2006/custom-properties" xmlns:vt="http://schemas.openxmlformats.org/officeDocument/2006/docPropsVTypes"/>
</file>