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Nucor Corporation (NUE)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Nucor Corporation</w:t>
            </w:r>
          </w:p>
        </w:tc>
      </w:tr>
      <w:tr>
        <w:tc>
          <w:tcPr>
            <w:tcW w:type="dxa" w:w="4320"/>
          </w:tcPr>
          <w:p>
            <w:r>
              <w:rPr>
                <w:rFonts w:ascii="Calibri" w:hAnsi="Calibri"/>
                <w:b/>
                <w:sz w:val="22"/>
              </w:rPr>
              <w:t>Ticker</w:t>
            </w:r>
          </w:p>
        </w:tc>
        <w:tc>
          <w:tcPr>
            <w:tcW w:type="dxa" w:w="4320"/>
          </w:tcPr>
          <w:p>
            <w:r>
              <w:rPr>
                <w:rFonts w:ascii="Calibri" w:hAnsi="Calibri"/>
                <w:sz w:val="22"/>
              </w:rPr>
              <w:t>NUE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July 4, 2026)</w:t>
            </w:r>
          </w:p>
        </w:tc>
      </w:tr>
      <w:tr>
        <w:tc>
          <w:tcPr>
            <w:tcW w:type="dxa" w:w="4320"/>
          </w:tcPr>
          <w:p>
            <w:r>
              <w:rPr>
                <w:rFonts w:ascii="Calibri" w:hAnsi="Calibri"/>
                <w:b/>
                <w:sz w:val="22"/>
              </w:rPr>
              <w:t>Expected Earnings Date</w:t>
            </w:r>
          </w:p>
        </w:tc>
        <w:tc>
          <w:tcPr>
            <w:tcW w:type="dxa" w:w="4320"/>
          </w:tcPr>
          <w:p>
            <w:r>
              <w:rPr>
                <w:rFonts w:ascii="Calibri" w:hAnsi="Calibri"/>
                <w:sz w:val="22"/>
              </w:rPr>
              <w:t>~Late July 2026 (conference call announced July 14, 2026)</w:t>
            </w:r>
          </w:p>
        </w:tc>
      </w:tr>
      <w:tr>
        <w:tc>
          <w:tcPr>
            <w:tcW w:type="dxa" w:w="4320"/>
          </w:tcPr>
          <w:p>
            <w:r>
              <w:rPr>
                <w:rFonts w:ascii="Calibri" w:hAnsi="Calibri"/>
                <w:b/>
                <w:sz w:val="22"/>
              </w:rPr>
              <w:t>Preparation Date</w:t>
            </w:r>
          </w:p>
        </w:tc>
        <w:tc>
          <w:tcPr>
            <w:tcW w:type="dxa" w:w="4320"/>
          </w:tcPr>
          <w:p>
            <w:r>
              <w:rPr>
                <w:rFonts w:ascii="Calibri" w:hAnsi="Calibri"/>
                <w:sz w:val="22"/>
              </w:rPr>
              <w:t>July 26, 2026</w:t>
            </w:r>
          </w:p>
        </w:tc>
      </w:tr>
      <w:tr>
        <w:tc>
          <w:tcPr>
            <w:tcW w:type="dxa" w:w="4320"/>
          </w:tcPr>
          <w:p>
            <w:r>
              <w:rPr>
                <w:rFonts w:ascii="Calibri" w:hAnsi="Calibri"/>
                <w:b/>
                <w:sz w:val="22"/>
              </w:rPr>
              <w:t>Sector / Sub-sector</w:t>
            </w:r>
          </w:p>
        </w:tc>
        <w:tc>
          <w:tcPr>
            <w:tcW w:type="dxa" w:w="4320"/>
          </w:tcPr>
          <w:p>
            <w:r>
              <w:rPr>
                <w:rFonts w:ascii="Calibri" w:hAnsi="Calibri"/>
                <w:sz w:val="22"/>
              </w:rPr>
              <w:t>Materials / Steel Manufacturing (EAF)</w:t>
            </w:r>
          </w:p>
        </w:tc>
      </w:tr>
      <w:tr>
        <w:tc>
          <w:tcPr>
            <w:tcW w:type="dxa" w:w="4320"/>
          </w:tcPr>
          <w:p>
            <w:r>
              <w:rPr>
                <w:rFonts w:ascii="Calibri" w:hAnsi="Calibri"/>
                <w:b/>
                <w:sz w:val="22"/>
              </w:rPr>
              <w:t>Primary Valuation KPI</w:t>
            </w:r>
          </w:p>
        </w:tc>
        <w:tc>
          <w:tcPr>
            <w:tcW w:type="dxa" w:w="4320"/>
          </w:tcPr>
          <w:p>
            <w:r>
              <w:rPr>
                <w:rFonts w:ascii="Calibri" w:hAnsi="Calibri"/>
                <w:sz w:val="22"/>
              </w:rPr>
              <w:t>EPS (Diluted – Operating); EV/EBITDA secondary</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strongly bullish — company-issued guidance of $4.50–$4.60 adjusted EPS (ex-Helion benefit) is already well above Q1’s $3.23, consensus sits at ~$4.16–$4.46, and every operating segment is guided higher; the biggest swing factor is whether steel mill ASP and volume upside can push the print above the top of the guidance range as it did in Q1.</w:t>
      </w:r>
    </w:p>
    <w:p>
      <w:r>
        <w:rPr>
          <w:rFonts w:ascii="Calibri" w:hAnsi="Calibri"/>
          <w:color w:val="525866"/>
          <w:sz w:val="22"/>
        </w:rPr>
        <w:t xml:space="preserve">Nucor heads into Q2 2026 earnings with one of the strongest setups in recent memory: management issued explicit guidance of $4.50–$4.60 adjusted EPS on June 17, 2026 — a sequential step-up of roughly 40% from Q1’s $3.23 — and consensus at ~$4.16 (as of early May) has since been revised sharply higher toward $4.46, still sitting below the guidance midpoint and leaving meaningful room for a beat. </w:t>
      </w:r>
      <w:r>
        <w:rPr>
          <w:rFonts w:ascii="Calibri" w:hAnsi="Calibri"/>
          <w:b/>
          <w:color w:val="525866"/>
          <w:sz w:val="22"/>
        </w:rPr>
        <w:t>The bar is high in absolute terms but not stretched relative to guidance</w:t>
      </w:r>
      <w:r>
        <w:rPr>
          <w:rFonts w:ascii="Calibri" w:hAnsi="Calibri"/>
          <w:color w:val="525866"/>
          <w:sz w:val="22"/>
        </w:rPr>
        <w:t xml:space="preserve">, as Q1 itself came in nearly $0.50 above the guidance midpoint, establishing a pattern of conservative guidance. Management tone on the Q1 call was the most bullish in years — CEO Topalian described demand as “hot like ‘21–‘22 or even beyond” in some product groups, backlogs at their highest since Q2 2021, and full-year volume growth now tracking toward double digits vs. the initial 5% target. Estimate revisions have tracked guidance directionally but remain below the guidance midpoint, creating a cushion rather than a risk. </w:t>
      </w:r>
    </w:p>
    <w:p>
      <w:r>
        <w:rPr>
          <w:rFonts w:ascii="Calibri" w:hAnsi="Calibri"/>
          <w:color w:val="525866"/>
          <w:sz w:val="22"/>
        </w:rPr>
        <w:t xml:space="preserve">The stock has rallied ~15% since the Q1 print vs. XME down ~15% and SPY up ~3%, reflecting NUE’s idiosyncratic volume and pricing story, but the multiple at ~24–25x still sits below the estimated fair P/E of ~29–31x, suggesting the stock has not fully priced in the earnings power from recently completed projects. </w:t>
      </w:r>
      <w:r>
        <w:rPr>
          <w:rFonts w:ascii="Calibri" w:hAnsi="Calibri"/>
          <w:color w:val="525866"/>
          <w:sz w:val="22"/>
        </w:rPr>
        <w:t>The key wildcard is the import re-acceleration flagged by Steel Dynamics on its Q2 call — STLD noted imports rising month-over-month in June and July from three Asian countries “shipping through the 232s,” which could pressure domestic pricing into Q3 even if Q2 itself is clean; Nucor’s own Q2 guidance was set before this dynamic became visible, making the Q3 outlook commentary the most important element of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bar relative to guidance</w:t>
      </w:r>
      <w:r>
        <w:rPr>
          <w:rFonts w:ascii="Calibri" w:hAnsi="Calibri"/>
          <w:color w:val="525866"/>
          <w:sz w:val="22"/>
        </w:rPr>
        <w:t xml:space="preserve"> — the $4.46 EPS consensus sits below the $4.50–$4.60 guidance range, and steel mill shipments consensus of ~5.53M tons is roughly in line with Q1’s record 5.62M tons. The bigger swing factor is ASP: guidance explicitly calls for higher average selling prices, and if sheet/plate pricing continues its upward trajectory (as confirmed by STLD and RS peers), NUE could beat on both volume and price simultaneously.</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EPS – Diluted Operating ($)</w:t>
            </w:r>
          </w:p>
        </w:tc>
        <w:tc>
          <w:tcPr>
            <w:tcW w:type="dxa" w:w="1234"/>
          </w:tcPr>
          <w:p>
            <w:r>
              <w:rPr>
                <w:rFonts w:ascii="Calibri" w:hAnsi="Calibri"/>
                <w:sz w:val="22"/>
              </w:rPr>
              <w:t>$3.23</w:t>
            </w:r>
          </w:p>
        </w:tc>
        <w:tc>
          <w:tcPr>
            <w:tcW w:type="dxa" w:w="1234"/>
          </w:tcPr>
          <w:p>
            <w:r>
              <w:rPr>
                <w:rFonts w:ascii="Calibri" w:hAnsi="Calibri"/>
                <w:sz w:val="22"/>
              </w:rPr>
              <w:t>$2.60</w:t>
            </w:r>
          </w:p>
        </w:tc>
        <w:tc>
          <w:tcPr>
            <w:tcW w:type="dxa" w:w="1234"/>
          </w:tcPr>
          <w:p>
            <w:r>
              <w:rPr>
                <w:rFonts w:ascii="Calibri" w:hAnsi="Calibri"/>
                <w:sz w:val="22"/>
              </w:rPr>
              <w:t>$4.46</w:t>
            </w:r>
          </w:p>
        </w:tc>
        <w:tc>
          <w:tcPr>
            <w:tcW w:type="dxa" w:w="1234"/>
          </w:tcPr>
          <w:p>
            <w:r>
              <w:rPr>
                <w:rFonts w:ascii="Calibri" w:hAnsi="Calibri"/>
                <w:sz w:val="22"/>
              </w:rPr>
              <w:t>+71.5% YoY</w:t>
            </w:r>
          </w:p>
        </w:tc>
        <w:tc>
          <w:tcPr>
            <w:tcW w:type="dxa" w:w="1234"/>
          </w:tcPr>
          <w:p>
            <w:r>
              <w:rPr>
                <w:rFonts w:ascii="Calibri" w:hAnsi="Calibri"/>
                <w:sz w:val="22"/>
              </w:rPr>
              <w:t>$4.50–$4.60 adj. ($4.70–$4.80 reported incl. ~$0.20 Helion benefit)</w:t>
            </w:r>
          </w:p>
        </w:tc>
        <w:tc>
          <w:tcPr>
            <w:tcW w:type="dxa" w:w="1234"/>
          </w:tcPr>
          <w:p>
            <w:r>
              <w:rPr>
                <w:rFonts w:ascii="Calibri" w:hAnsi="Calibri"/>
                <w:sz w:val="22"/>
              </w:rPr>
              <w:t>−1.0% below midpoint ($4.55 adj.)</w:t>
            </w:r>
          </w:p>
        </w:tc>
      </w:tr>
      <w:tr>
        <w:tc>
          <w:tcPr>
            <w:tcW w:type="dxa" w:w="1234"/>
          </w:tcPr>
          <w:p>
            <w:r>
              <w:rPr>
                <w:rFonts w:ascii="Calibri" w:hAnsi="Calibri"/>
                <w:sz w:val="22"/>
              </w:rPr>
              <w:t>Total Revenue ($B)</w:t>
            </w:r>
          </w:p>
        </w:tc>
        <w:tc>
          <w:tcPr>
            <w:tcW w:type="dxa" w:w="1234"/>
          </w:tcPr>
          <w:p>
            <w:r>
              <w:rPr>
                <w:rFonts w:ascii="Calibri" w:hAnsi="Calibri"/>
                <w:sz w:val="22"/>
              </w:rPr>
              <w:t>$9.50B</w:t>
            </w:r>
          </w:p>
        </w:tc>
        <w:tc>
          <w:tcPr>
            <w:tcW w:type="dxa" w:w="1234"/>
          </w:tcPr>
          <w:p>
            <w:r>
              <w:rPr>
                <w:rFonts w:ascii="Calibri" w:hAnsi="Calibri"/>
                <w:sz w:val="22"/>
              </w:rPr>
              <w:t>$8.46B</w:t>
            </w:r>
          </w:p>
        </w:tc>
        <w:tc>
          <w:tcPr>
            <w:tcW w:type="dxa" w:w="1234"/>
          </w:tcPr>
          <w:p>
            <w:r>
              <w:rPr>
                <w:rFonts w:ascii="Calibri" w:hAnsi="Calibri"/>
                <w:sz w:val="22"/>
              </w:rPr>
              <w:t>$9.99B</w:t>
            </w:r>
          </w:p>
        </w:tc>
        <w:tc>
          <w:tcPr>
            <w:tcW w:type="dxa" w:w="1234"/>
          </w:tcPr>
          <w:p>
            <w:r>
              <w:rPr>
                <w:rFonts w:ascii="Calibri" w:hAnsi="Calibri"/>
                <w:sz w:val="22"/>
              </w:rPr>
              <w:t>+18.1% YoY</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EBITDA ($B)</w:t>
            </w:r>
          </w:p>
        </w:tc>
        <w:tc>
          <w:tcPr>
            <w:tcW w:type="dxa" w:w="1234"/>
          </w:tcPr>
          <w:p>
            <w:r>
              <w:rPr>
                <w:rFonts w:ascii="Calibri" w:hAnsi="Calibri"/>
                <w:sz w:val="22"/>
              </w:rPr>
              <w:t>$1.514B</w:t>
            </w:r>
          </w:p>
        </w:tc>
        <w:tc>
          <w:tcPr>
            <w:tcW w:type="dxa" w:w="1234"/>
          </w:tcPr>
          <w:p>
            <w:r>
              <w:rPr>
                <w:rFonts w:ascii="Calibri" w:hAnsi="Calibri"/>
                <w:sz w:val="22"/>
              </w:rPr>
              <w:t>$1.295B</w:t>
            </w:r>
          </w:p>
        </w:tc>
        <w:tc>
          <w:tcPr>
            <w:tcW w:type="dxa" w:w="1234"/>
          </w:tcPr>
          <w:p>
            <w:r>
              <w:rPr>
                <w:rFonts w:ascii="Calibri" w:hAnsi="Calibri"/>
                <w:sz w:val="22"/>
              </w:rPr>
              <w:t>$1.887B</w:t>
            </w:r>
          </w:p>
        </w:tc>
        <w:tc>
          <w:tcPr>
            <w:tcW w:type="dxa" w:w="1234"/>
          </w:tcPr>
          <w:p>
            <w:r>
              <w:rPr>
                <w:rFonts w:ascii="Calibri" w:hAnsi="Calibri"/>
                <w:sz w:val="22"/>
              </w:rPr>
              <w:t>+45.7% YoY</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Steel Mills Shipments (M short tons)</w:t>
            </w:r>
          </w:p>
        </w:tc>
        <w:tc>
          <w:tcPr>
            <w:tcW w:type="dxa" w:w="1234"/>
          </w:tcPr>
          <w:p>
            <w:r>
              <w:rPr>
                <w:rFonts w:ascii="Calibri" w:hAnsi="Calibri"/>
                <w:sz w:val="22"/>
              </w:rPr>
              <w:t>5.619M</w:t>
            </w:r>
          </w:p>
        </w:tc>
        <w:tc>
          <w:tcPr>
            <w:tcW w:type="dxa" w:w="1234"/>
          </w:tcPr>
          <w:p>
            <w:r>
              <w:rPr>
                <w:rFonts w:ascii="Calibri" w:hAnsi="Calibri"/>
                <w:sz w:val="22"/>
              </w:rPr>
              <w:t>5.044M</w:t>
            </w:r>
          </w:p>
        </w:tc>
        <w:tc>
          <w:tcPr>
            <w:tcW w:type="dxa" w:w="1234"/>
          </w:tcPr>
          <w:p>
            <w:r>
              <w:rPr>
                <w:rFonts w:ascii="Calibri" w:hAnsi="Calibri"/>
                <w:sz w:val="22"/>
              </w:rPr>
              <w:t>5.532M</w:t>
            </w:r>
          </w:p>
        </w:tc>
        <w:tc>
          <w:tcPr>
            <w:tcW w:type="dxa" w:w="1234"/>
          </w:tcPr>
          <w:p>
            <w:r>
              <w:rPr>
                <w:rFonts w:ascii="Calibri" w:hAnsi="Calibri"/>
                <w:sz w:val="22"/>
              </w:rPr>
              <w:t>+9.7% YoY</w:t>
            </w:r>
          </w:p>
        </w:tc>
        <w:tc>
          <w:tcPr>
            <w:tcW w:type="dxa" w:w="1234"/>
          </w:tcPr>
          <w:p>
            <w:r>
              <w:rPr>
                <w:rFonts w:ascii="Calibri" w:hAnsi="Calibri"/>
                <w:sz w:val="22"/>
              </w:rPr>
              <w:t>Stable volumes (vs. Q1 record)</w:t>
            </w:r>
          </w:p>
        </w:tc>
        <w:tc>
          <w:tcPr>
            <w:tcW w:type="dxa" w:w="1234"/>
          </w:tcPr>
          <w:p>
            <w:r>
              <w:rPr>
                <w:rFonts w:ascii="Calibri" w:hAnsi="Calibri"/>
                <w:sz w:val="22"/>
              </w:rPr>
              <w:t>~−1.5% below Q1 actual; in line with guidance</w:t>
            </w:r>
          </w:p>
        </w:tc>
      </w:tr>
      <w:tr>
        <w:tc>
          <w:tcPr>
            <w:tcW w:type="dxa" w:w="1234"/>
          </w:tcPr>
          <w:p>
            <w:r>
              <w:rPr>
                <w:rFonts w:ascii="Calibri" w:hAnsi="Calibri"/>
                <w:sz w:val="22"/>
              </w:rPr>
              <w:t>Steel Mills ASP per Ton ($)</w:t>
            </w:r>
          </w:p>
        </w:tc>
        <w:tc>
          <w:tcPr>
            <w:tcW w:type="dxa" w:w="1234"/>
          </w:tcPr>
          <w:p>
            <w:r>
              <w:rPr>
                <w:rFonts w:ascii="Calibri" w:hAnsi="Calibri"/>
                <w:sz w:val="22"/>
              </w:rPr>
              <w:t>$1,074</w:t>
            </w:r>
          </w:p>
        </w:tc>
        <w:tc>
          <w:tcPr>
            <w:tcW w:type="dxa" w:w="1234"/>
          </w:tcPr>
          <w:p>
            <w:r>
              <w:rPr>
                <w:rFonts w:ascii="Calibri" w:hAnsi="Calibri"/>
                <w:sz w:val="22"/>
              </w:rPr>
              <w:t>$1,041</w:t>
            </w:r>
          </w:p>
        </w:tc>
        <w:tc>
          <w:tcPr>
            <w:tcW w:type="dxa" w:w="1234"/>
          </w:tcPr>
          <w:p>
            <w:r>
              <w:rPr>
                <w:rFonts w:ascii="Calibri" w:hAnsi="Calibri"/>
                <w:sz w:val="22"/>
              </w:rPr>
              <w:t>$1,142</w:t>
            </w:r>
          </w:p>
        </w:tc>
        <w:tc>
          <w:tcPr>
            <w:tcW w:type="dxa" w:w="1234"/>
          </w:tcPr>
          <w:p>
            <w:r>
              <w:rPr>
                <w:rFonts w:ascii="Calibri" w:hAnsi="Calibri"/>
                <w:sz w:val="22"/>
              </w:rPr>
              <w:t>+9.7% YoY</w:t>
            </w:r>
          </w:p>
        </w:tc>
        <w:tc>
          <w:tcPr>
            <w:tcW w:type="dxa" w:w="1234"/>
          </w:tcPr>
          <w:p>
            <w:r>
              <w:rPr>
                <w:rFonts w:ascii="Calibri" w:hAnsi="Calibri"/>
                <w:sz w:val="22"/>
              </w:rPr>
              <w:t>Higher ASP (sheet &amp; plate leading)</w:t>
            </w:r>
          </w:p>
        </w:tc>
        <w:tc>
          <w:tcPr>
            <w:tcW w:type="dxa" w:w="1234"/>
          </w:tcPr>
          <w:p>
            <w:r>
              <w:rPr>
                <w:rFonts w:ascii="Calibri" w:hAnsi="Calibri"/>
                <w:sz w:val="22"/>
              </w:rPr>
              <w:t>Consensus above Q1 actual; consistent with guidance</w:t>
            </w:r>
          </w:p>
        </w:tc>
      </w:tr>
      <w:tr>
        <w:tc>
          <w:tcPr>
            <w:tcW w:type="dxa" w:w="1234"/>
          </w:tcPr>
          <w:p>
            <w:r>
              <w:rPr>
                <w:rFonts w:ascii="Calibri" w:hAnsi="Calibri"/>
                <w:sz w:val="22"/>
              </w:rPr>
              <w:t>Steel Mill Capacity Utilization (%)</w:t>
            </w:r>
          </w:p>
        </w:tc>
        <w:tc>
          <w:tcPr>
            <w:tcW w:type="dxa" w:w="1234"/>
          </w:tcPr>
          <w:p>
            <w:r>
              <w:rPr>
                <w:rFonts w:ascii="Calibri" w:hAnsi="Calibri"/>
                <w:sz w:val="22"/>
              </w:rPr>
              <w:t>71.6%</w:t>
            </w:r>
          </w:p>
        </w:tc>
        <w:tc>
          <w:tcPr>
            <w:tcW w:type="dxa" w:w="1234"/>
          </w:tcPr>
          <w:p>
            <w:r>
              <w:rPr>
                <w:rFonts w:ascii="Calibri" w:hAnsi="Calibri"/>
                <w:sz w:val="22"/>
              </w:rPr>
              <w:t>65.3%</w:t>
            </w:r>
          </w:p>
        </w:tc>
        <w:tc>
          <w:tcPr>
            <w:tcW w:type="dxa" w:w="1234"/>
          </w:tcPr>
          <w:p>
            <w:r>
              <w:rPr>
                <w:rFonts w:ascii="Calibri" w:hAnsi="Calibri"/>
                <w:sz w:val="22"/>
              </w:rPr>
              <w:t>69.1%</w:t>
            </w:r>
          </w:p>
        </w:tc>
        <w:tc>
          <w:tcPr>
            <w:tcW w:type="dxa" w:w="1234"/>
          </w:tcPr>
          <w:p>
            <w:r>
              <w:rPr>
                <w:rFonts w:ascii="Calibri" w:hAnsi="Calibri"/>
                <w:sz w:val="22"/>
              </w:rPr>
              <w:t>+3.8pp YoY</w:t>
            </w:r>
          </w:p>
        </w:tc>
        <w:tc>
          <w:tcPr>
            <w:tcW w:type="dxa" w:w="1234"/>
          </w:tcPr>
          <w:p>
            <w:r>
              <w:rPr>
                <w:rFonts w:ascii="Calibri" w:hAnsi="Calibri"/>
                <w:sz w:val="22"/>
              </w:rPr>
              <w:t>Stable volumes implied ~69–71%</w:t>
            </w:r>
          </w:p>
        </w:tc>
        <w:tc>
          <w:tcPr>
            <w:tcW w:type="dxa" w:w="1234"/>
          </w:tcPr>
          <w:p>
            <w:r>
              <w:rPr>
                <w:rFonts w:ascii="Calibri" w:hAnsi="Calibri"/>
                <w:sz w:val="22"/>
              </w:rPr>
              <w:t>Slightly below Q1 record; in line with guidance</w:t>
            </w:r>
          </w:p>
        </w:tc>
      </w:tr>
      <w:tr>
        <w:tc>
          <w:tcPr>
            <w:tcW w:type="dxa" w:w="1234"/>
          </w:tcPr>
          <w:p>
            <w:r>
              <w:rPr>
                <w:rFonts w:ascii="Calibri" w:hAnsi="Calibri"/>
                <w:sz w:val="22"/>
              </w:rPr>
              <w:t>Segment Profit – Steel Mills ($B)</w:t>
            </w:r>
          </w:p>
        </w:tc>
        <w:tc>
          <w:tcPr>
            <w:tcW w:type="dxa" w:w="1234"/>
          </w:tcPr>
          <w:p>
            <w:r>
              <w:rPr>
                <w:rFonts w:ascii="Calibri" w:hAnsi="Calibri"/>
                <w:sz w:val="22"/>
              </w:rPr>
              <w:t>$1.128B</w:t>
            </w:r>
          </w:p>
        </w:tc>
        <w:tc>
          <w:tcPr>
            <w:tcW w:type="dxa" w:w="1234"/>
          </w:tcPr>
          <w:p>
            <w:r>
              <w:rPr>
                <w:rFonts w:ascii="Calibri" w:hAnsi="Calibri"/>
                <w:sz w:val="22"/>
              </w:rPr>
              <w:t>$0.843B</w:t>
            </w:r>
          </w:p>
        </w:tc>
        <w:tc>
          <w:tcPr>
            <w:tcW w:type="dxa" w:w="1234"/>
          </w:tcPr>
          <w:p>
            <w:r>
              <w:rPr>
                <w:rFonts w:ascii="Calibri" w:hAnsi="Calibri"/>
                <w:sz w:val="22"/>
              </w:rPr>
              <w:t>$1.477B</w:t>
            </w:r>
          </w:p>
        </w:tc>
        <w:tc>
          <w:tcPr>
            <w:tcW w:type="dxa" w:w="1234"/>
          </w:tcPr>
          <w:p>
            <w:r>
              <w:rPr>
                <w:rFonts w:ascii="Calibri" w:hAnsi="Calibri"/>
                <w:sz w:val="22"/>
              </w:rPr>
              <w:t>+75.2% YoY</w:t>
            </w:r>
          </w:p>
        </w:tc>
        <w:tc>
          <w:tcPr>
            <w:tcW w:type="dxa" w:w="1234"/>
          </w:tcPr>
          <w:p>
            <w:r>
              <w:rPr>
                <w:rFonts w:ascii="Calibri" w:hAnsi="Calibri"/>
                <w:sz w:val="22"/>
              </w:rPr>
              <w:t>Largest sequential increase of 3 segments</w:t>
            </w:r>
          </w:p>
        </w:tc>
        <w:tc>
          <w:tcPr>
            <w:tcW w:type="dxa" w:w="1234"/>
          </w:tcPr>
          <w:p>
            <w:r>
              <w:rPr>
                <w:rFonts w:ascii="Calibri" w:hAnsi="Calibri"/>
                <w:sz w:val="22"/>
              </w:rPr>
              <w:t>Consensus above Q1; consistent with guidance</w:t>
            </w:r>
          </w:p>
        </w:tc>
      </w:tr>
      <w:tr>
        <w:tc>
          <w:tcPr>
            <w:tcW w:type="dxa" w:w="1234"/>
          </w:tcPr>
          <w:p>
            <w:r>
              <w:rPr>
                <w:rFonts w:ascii="Calibri" w:hAnsi="Calibri"/>
                <w:sz w:val="22"/>
              </w:rPr>
              <w:t>Segment Profit – Steel Products ($B)</w:t>
            </w:r>
          </w:p>
        </w:tc>
        <w:tc>
          <w:tcPr>
            <w:tcW w:type="dxa" w:w="1234"/>
          </w:tcPr>
          <w:p>
            <w:r>
              <w:rPr>
                <w:rFonts w:ascii="Calibri" w:hAnsi="Calibri"/>
                <w:sz w:val="22"/>
              </w:rPr>
              <w:t>$0.285B</w:t>
            </w:r>
          </w:p>
        </w:tc>
        <w:tc>
          <w:tcPr>
            <w:tcW w:type="dxa" w:w="1234"/>
          </w:tcPr>
          <w:p>
            <w:r>
              <w:rPr>
                <w:rFonts w:ascii="Calibri" w:hAnsi="Calibri"/>
                <w:sz w:val="22"/>
              </w:rPr>
              <w:t>$0.392B</w:t>
            </w:r>
          </w:p>
        </w:tc>
        <w:tc>
          <w:tcPr>
            <w:tcW w:type="dxa" w:w="1234"/>
          </w:tcPr>
          <w:p>
            <w:r>
              <w:rPr>
                <w:rFonts w:ascii="Calibri" w:hAnsi="Calibri"/>
                <w:sz w:val="22"/>
              </w:rPr>
              <w:t>$0.349B</w:t>
            </w:r>
          </w:p>
        </w:tc>
        <w:tc>
          <w:tcPr>
            <w:tcW w:type="dxa" w:w="1234"/>
          </w:tcPr>
          <w:p>
            <w:r>
              <w:rPr>
                <w:rFonts w:ascii="Calibri" w:hAnsi="Calibri"/>
                <w:sz w:val="22"/>
              </w:rPr>
              <w:t>−11.0% YoY</w:t>
            </w:r>
          </w:p>
        </w:tc>
        <w:tc>
          <w:tcPr>
            <w:tcW w:type="dxa" w:w="1234"/>
          </w:tcPr>
          <w:p>
            <w:r>
              <w:rPr>
                <w:rFonts w:ascii="Calibri" w:hAnsi="Calibri"/>
                <w:sz w:val="22"/>
              </w:rPr>
              <w:t>Higher volumes, slightly higher pricing</w:t>
            </w:r>
          </w:p>
        </w:tc>
        <w:tc>
          <w:tcPr>
            <w:tcW w:type="dxa" w:w="1234"/>
          </w:tcPr>
          <w:p>
            <w:r>
              <w:rPr>
                <w:rFonts w:ascii="Calibri" w:hAnsi="Calibri"/>
                <w:sz w:val="22"/>
              </w:rPr>
              <w:t>Consensus above Q1; consistent with guidance</w:t>
            </w:r>
          </w:p>
        </w:tc>
      </w:tr>
      <w:tr>
        <w:tc>
          <w:tcPr>
            <w:tcW w:type="dxa" w:w="1234"/>
          </w:tcPr>
          <w:p>
            <w:r>
              <w:rPr>
                <w:rFonts w:ascii="Calibri" w:hAnsi="Calibri"/>
                <w:sz w:val="22"/>
              </w:rPr>
              <w:t>Capital Expenditures ($B)</w:t>
            </w:r>
          </w:p>
        </w:tc>
        <w:tc>
          <w:tcPr>
            <w:tcW w:type="dxa" w:w="1234"/>
          </w:tcPr>
          <w:p>
            <w:r>
              <w:rPr>
                <w:rFonts w:ascii="Calibri" w:hAnsi="Calibri"/>
                <w:sz w:val="22"/>
              </w:rPr>
              <w:t>$0.661B</w:t>
            </w:r>
          </w:p>
        </w:tc>
        <w:tc>
          <w:tcPr>
            <w:tcW w:type="dxa" w:w="1234"/>
          </w:tcPr>
          <w:p>
            <w:r>
              <w:rPr>
                <w:rFonts w:ascii="Calibri" w:hAnsi="Calibri"/>
                <w:sz w:val="22"/>
              </w:rPr>
              <w:t>$0.954B</w:t>
            </w:r>
          </w:p>
        </w:tc>
        <w:tc>
          <w:tcPr>
            <w:tcW w:type="dxa" w:w="1234"/>
          </w:tcPr>
          <w:p>
            <w:r>
              <w:rPr>
                <w:rFonts w:ascii="Calibri" w:hAnsi="Calibri"/>
                <w:sz w:val="22"/>
              </w:rPr>
              <w:t>$0.649B</w:t>
            </w:r>
          </w:p>
        </w:tc>
        <w:tc>
          <w:tcPr>
            <w:tcW w:type="dxa" w:w="1234"/>
          </w:tcPr>
          <w:p>
            <w:r>
              <w:rPr>
                <w:rFonts w:ascii="Calibri" w:hAnsi="Calibri"/>
                <w:sz w:val="22"/>
              </w:rPr>
              <w:t>−31.9% YoY</w:t>
            </w:r>
          </w:p>
        </w:tc>
        <w:tc>
          <w:tcPr>
            <w:tcW w:type="dxa" w:w="1234"/>
          </w:tcPr>
          <w:p>
            <w:r>
              <w:rPr>
                <w:rFonts w:ascii="Calibri" w:hAnsi="Calibri"/>
                <w:sz w:val="22"/>
              </w:rPr>
              <w:t>Stepping down as WV mill nears completion</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$0.225B</w:t>
            </w:r>
          </w:p>
        </w:tc>
        <w:tc>
          <w:tcPr>
            <w:tcW w:type="dxa" w:w="1234"/>
          </w:tcPr>
          <w:p>
            <w:r>
              <w:rPr>
                <w:rFonts w:ascii="Calibri" w:hAnsi="Calibri"/>
                <w:sz w:val="22"/>
              </w:rPr>
              <w:t>−$0.222B</w:t>
            </w:r>
          </w:p>
        </w:tc>
        <w:tc>
          <w:tcPr>
            <w:tcW w:type="dxa" w:w="1234"/>
          </w:tcPr>
          <w:p>
            <w:r>
              <w:rPr>
                <w:rFonts w:ascii="Calibri" w:hAnsi="Calibri"/>
                <w:sz w:val="22"/>
              </w:rPr>
              <w:t>$0.648B</w:t>
            </w:r>
          </w:p>
        </w:tc>
        <w:tc>
          <w:tcPr>
            <w:tcW w:type="dxa" w:w="1234"/>
          </w:tcPr>
          <w:p>
            <w:r>
              <w:rPr>
                <w:rFonts w:ascii="Calibri" w:hAnsi="Calibri"/>
                <w:sz w:val="22"/>
              </w:rPr>
              <w:t>N/M (neg. to pos.)</w:t>
            </w:r>
          </w:p>
        </w:tc>
        <w:tc>
          <w:tcPr>
            <w:tcW w:type="dxa" w:w="1234"/>
          </w:tcPr>
          <w:p>
            <w:r>
              <w:rPr>
                <w:rFonts w:ascii="Calibri" w:hAnsi="Calibri"/>
                <w:sz w:val="22"/>
              </w:rPr>
              <w:t>Improving as CapEx steps down</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latest available. Q2 2026 guidance from Nucor press release dated June 17, 2026. Adjusted EPS guidance excludes ~$0.20/share non-cash Helion investment benefit.</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$2.68</w:t>
            </w:r>
          </w:p>
        </w:tc>
        <w:tc>
          <w:tcPr>
            <w:tcW w:type="dxa" w:w="1728"/>
          </w:tcPr>
          <w:p>
            <w:r>
              <w:rPr>
                <w:rFonts w:ascii="Calibri" w:hAnsi="Calibri"/>
                <w:sz w:val="22"/>
              </w:rPr>
              <w:t>$2.42</w:t>
            </w:r>
          </w:p>
        </w:tc>
        <w:tc>
          <w:tcPr>
            <w:tcW w:type="dxa" w:w="1728"/>
          </w:tcPr>
          <w:p>
            <w:r>
              <w:rPr>
                <w:rFonts w:ascii="Calibri" w:hAnsi="Calibri"/>
                <w:sz w:val="22"/>
              </w:rPr>
              <w:t>+10.7%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$1.49</w:t>
            </w:r>
          </w:p>
        </w:tc>
        <w:tc>
          <w:tcPr>
            <w:tcW w:type="dxa" w:w="1728"/>
          </w:tcPr>
          <w:p>
            <w:r>
              <w:rPr>
                <w:rFonts w:ascii="Calibri" w:hAnsi="Calibri"/>
                <w:sz w:val="22"/>
              </w:rPr>
              <w:t>$1.40</w:t>
            </w:r>
          </w:p>
        </w:tc>
        <w:tc>
          <w:tcPr>
            <w:tcW w:type="dxa" w:w="1728"/>
          </w:tcPr>
          <w:p>
            <w:r>
              <w:rPr>
                <w:rFonts w:ascii="Calibri" w:hAnsi="Calibri"/>
                <w:sz w:val="22"/>
              </w:rPr>
              <w:t>+6.4%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$1.22</w:t>
            </w:r>
          </w:p>
        </w:tc>
        <w:tc>
          <w:tcPr>
            <w:tcW w:type="dxa" w:w="1728"/>
          </w:tcPr>
          <w:p>
            <w:r>
              <w:rPr>
                <w:rFonts w:ascii="Calibri" w:hAnsi="Calibri"/>
                <w:sz w:val="22"/>
              </w:rPr>
              <w:t>$0.68</w:t>
            </w:r>
          </w:p>
        </w:tc>
        <w:tc>
          <w:tcPr>
            <w:tcW w:type="dxa" w:w="1728"/>
          </w:tcPr>
          <w:p>
            <w:r>
              <w:rPr>
                <w:rFonts w:ascii="Calibri" w:hAnsi="Calibri"/>
                <w:sz w:val="22"/>
              </w:rPr>
              <w:t>+78.8%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$0.77</w:t>
            </w:r>
          </w:p>
        </w:tc>
        <w:tc>
          <w:tcPr>
            <w:tcW w:type="dxa" w:w="1728"/>
          </w:tcPr>
          <w:p>
            <w:r>
              <w:rPr>
                <w:rFonts w:ascii="Calibri" w:hAnsi="Calibri"/>
                <w:sz w:val="22"/>
              </w:rPr>
              <w:t>$0.68</w:t>
            </w:r>
          </w:p>
        </w:tc>
        <w:tc>
          <w:tcPr>
            <w:tcW w:type="dxa" w:w="1728"/>
          </w:tcPr>
          <w:p>
            <w:r>
              <w:rPr>
                <w:rFonts w:ascii="Calibri" w:hAnsi="Calibri"/>
                <w:sz w:val="22"/>
              </w:rPr>
              <w:t>+13.2%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$2.60</w:t>
            </w:r>
          </w:p>
        </w:tc>
        <w:tc>
          <w:tcPr>
            <w:tcW w:type="dxa" w:w="1728"/>
          </w:tcPr>
          <w:p>
            <w:r>
              <w:rPr>
                <w:rFonts w:ascii="Calibri" w:hAnsi="Calibri"/>
                <w:sz w:val="22"/>
              </w:rPr>
              <w:t>$2.50</w:t>
            </w:r>
          </w:p>
        </w:tc>
        <w:tc>
          <w:tcPr>
            <w:tcW w:type="dxa" w:w="1728"/>
          </w:tcPr>
          <w:p>
            <w:r>
              <w:rPr>
                <w:rFonts w:ascii="Calibri" w:hAnsi="Calibri"/>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$2.64</w:t>
            </w:r>
          </w:p>
        </w:tc>
        <w:tc>
          <w:tcPr>
            <w:tcW w:type="dxa" w:w="1728"/>
          </w:tcPr>
          <w:p>
            <w:r>
              <w:rPr>
                <w:rFonts w:ascii="Calibri" w:hAnsi="Calibri"/>
                <w:sz w:val="22"/>
              </w:rPr>
              <w:t>$2.16</w:t>
            </w:r>
          </w:p>
        </w:tc>
        <w:tc>
          <w:tcPr>
            <w:tcW w:type="dxa" w:w="1728"/>
          </w:tcPr>
          <w:p>
            <w:r>
              <w:rPr>
                <w:rFonts w:ascii="Calibri" w:hAnsi="Calibri"/>
                <w:sz w:val="22"/>
              </w:rPr>
              <w:t>+22.1%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$1.73</w:t>
            </w:r>
          </w:p>
        </w:tc>
        <w:tc>
          <w:tcPr>
            <w:tcW w:type="dxa" w:w="1728"/>
          </w:tcPr>
          <w:p>
            <w:r>
              <w:rPr>
                <w:rFonts w:ascii="Calibri" w:hAnsi="Calibri"/>
                <w:sz w:val="22"/>
              </w:rPr>
              <w:t>$1.88</w:t>
            </w:r>
          </w:p>
        </w:tc>
        <w:tc>
          <w:tcPr>
            <w:tcW w:type="dxa" w:w="1728"/>
          </w:tcPr>
          <w:p>
            <w:r>
              <w:rPr>
                <w:rFonts w:ascii="Calibri" w:hAnsi="Calibri"/>
                <w:sz w:val="22"/>
              </w:rPr>
              <w:t>−8.0%</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$3.23</w:t>
            </w:r>
          </w:p>
        </w:tc>
        <w:tc>
          <w:tcPr>
            <w:tcW w:type="dxa" w:w="1728"/>
          </w:tcPr>
          <w:p>
            <w:r>
              <w:rPr>
                <w:rFonts w:ascii="Calibri" w:hAnsi="Calibri"/>
                <w:sz w:val="22"/>
              </w:rPr>
              <w:t>$2.78</w:t>
            </w:r>
          </w:p>
        </w:tc>
        <w:tc>
          <w:tcPr>
            <w:tcW w:type="dxa" w:w="1728"/>
          </w:tcPr>
          <w:p>
            <w:r>
              <w:rPr>
                <w:rFonts w:ascii="Calibri" w:hAnsi="Calibri"/>
                <w:sz w:val="22"/>
              </w:rPr>
              <w:t>+16.2%</w:t>
            </w:r>
          </w:p>
        </w:tc>
        <w:tc>
          <w:tcPr>
            <w:tcW w:type="dxa" w:w="1728"/>
          </w:tcPr>
          <w:p>
            <w:r>
              <w:rPr>
                <w:rFonts w:ascii="Calibri" w:hAnsi="Calibri"/>
                <w:b/>
                <w:color w:val="30A46C"/>
                <w:sz w:val="22"/>
              </w:rPr>
              <w:t>Beat</w:t>
            </w:r>
          </w:p>
        </w:tc>
      </w:tr>
    </w:tbl>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issued explicit Q2 guidance on June 17, 2026 — the first formal mid-quarter update since Q1 earnings — calling for earnings to increase across all three segments, with the steel mills segment seeing the largest sequential jump. Tone has shifted from bullish to very bullish: the $130M raw material cost refund benefit and the Helion non-cash gain are incremental tailwinds not in the original Q1 call outlook.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 2026)</w:t>
            </w:r>
          </w:p>
        </w:tc>
        <w:tc>
          <w:tcPr>
            <w:tcW w:type="dxa" w:w="1728"/>
            <w:shd w:val="clear" w:color="auto" w:fill="3B4259"/>
          </w:tcPr>
          <w:p>
            <w:r>
              <w:rPr>
                <w:rFonts w:ascii="Calibri" w:hAnsi="Calibri"/>
                <w:b/>
                <w:color w:val="FFFFFF"/>
                <w:sz w:val="22"/>
              </w:rPr>
              <w:t>Revised Guidance (Jun 17, 2026 Press Release)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EPS – Diluted Operating ($)</w:t>
            </w:r>
          </w:p>
        </w:tc>
        <w:tc>
          <w:tcPr>
            <w:tcW w:type="dxa" w:w="1728"/>
          </w:tcPr>
          <w:p>
            <w:r>
              <w:rPr>
                <w:rFonts w:ascii="Calibri" w:hAnsi="Calibri"/>
                <w:sz w:val="22"/>
              </w:rPr>
              <w:t>Higher consolidated earnings; all 3 segments up; sheet &amp; plate leading steel mills</w:t>
            </w:r>
          </w:p>
        </w:tc>
        <w:tc>
          <w:tcPr>
            <w:tcW w:type="dxa" w:w="1728"/>
          </w:tcPr>
          <w:p>
            <w:r>
              <w:rPr>
                <w:rFonts w:ascii="Calibri" w:hAnsi="Calibri"/>
                <w:sz w:val="22"/>
              </w:rPr>
              <w:t>$4.50–$4.60 adj. EPS ($4.70–$4.80 reported incl. ~$0.20 Helion benefit)</w:t>
            </w:r>
          </w:p>
        </w:tc>
        <w:tc>
          <w:tcPr>
            <w:tcW w:type="dxa" w:w="1728"/>
          </w:tcPr>
          <w:p>
            <w:r>
              <w:rPr>
                <w:rFonts w:ascii="Calibri" w:hAnsi="Calibri"/>
                <w:sz w:val="22"/>
              </w:rPr>
              <w:t>$4.46</w:t>
            </w:r>
          </w:p>
        </w:tc>
        <w:tc>
          <w:tcPr>
            <w:tcW w:type="dxa" w:w="1728"/>
          </w:tcPr>
          <w:p>
            <w:r>
              <w:rPr>
                <w:rFonts w:ascii="Calibri" w:hAnsi="Calibri"/>
                <w:sz w:val="22"/>
              </w:rPr>
              <w:t>↑ Raised with explicit range on Jun 17; includes $130M raw material refund benefit and $61M Helion non-cash gain; more confident tone</w:t>
            </w:r>
          </w:p>
        </w:tc>
      </w:tr>
      <w:tr>
        <w:tc>
          <w:tcPr>
            <w:tcW w:type="dxa" w:w="1728"/>
          </w:tcPr>
          <w:p>
            <w:r>
              <w:rPr>
                <w:rFonts w:ascii="Calibri" w:hAnsi="Calibri"/>
                <w:sz w:val="22"/>
              </w:rPr>
              <w:t>Steel Mills Segment</w:t>
            </w:r>
          </w:p>
        </w:tc>
        <w:tc>
          <w:tcPr>
            <w:tcW w:type="dxa" w:w="1728"/>
          </w:tcPr>
          <w:p>
            <w:r>
              <w:rPr>
                <w:rFonts w:ascii="Calibri" w:hAnsi="Calibri"/>
                <w:sz w:val="22"/>
              </w:rPr>
              <w:t>Stable volumes, increasing metal margins; sheet &amp; plate largest contributors to sequential increase</w:t>
            </w:r>
          </w:p>
        </w:tc>
        <w:tc>
          <w:tcPr>
            <w:tcW w:type="dxa" w:w="1728"/>
          </w:tcPr>
          <w:p>
            <w:r>
              <w:rPr>
                <w:rFonts w:ascii="Calibri" w:hAnsi="Calibri"/>
                <w:sz w:val="22"/>
              </w:rPr>
              <w:t>Higher ASP + stable volumes; $130M raw material cost refund benefit to COGS</w:t>
            </w:r>
          </w:p>
        </w:tc>
        <w:tc>
          <w:tcPr>
            <w:tcW w:type="dxa" w:w="1728"/>
          </w:tcPr>
          <w:p>
            <w:r>
              <w:rPr>
                <w:rFonts w:ascii="Calibri" w:hAnsi="Calibri"/>
                <w:sz w:val="22"/>
              </w:rPr>
              <w:t>Segment profit consensus: $1.477B</w:t>
            </w:r>
          </w:p>
        </w:tc>
        <w:tc>
          <w:tcPr>
            <w:tcW w:type="dxa" w:w="1728"/>
          </w:tcPr>
          <w:p>
            <w:r>
              <w:rPr>
                <w:rFonts w:ascii="Calibri" w:hAnsi="Calibri"/>
                <w:sz w:val="22"/>
              </w:rPr>
              <w:t>↑ Incremental positive: $130M refund not in original Q1 call guidance; largest sequential increase of 3 segments</w:t>
            </w:r>
          </w:p>
        </w:tc>
      </w:tr>
      <w:tr>
        <w:tc>
          <w:tcPr>
            <w:tcW w:type="dxa" w:w="1728"/>
          </w:tcPr>
          <w:p>
            <w:r>
              <w:rPr>
                <w:rFonts w:ascii="Calibri" w:hAnsi="Calibri"/>
                <w:sz w:val="22"/>
              </w:rPr>
              <w:t>Steel Products Segment</w:t>
            </w:r>
          </w:p>
        </w:tc>
        <w:tc>
          <w:tcPr>
            <w:tcW w:type="dxa" w:w="1728"/>
          </w:tcPr>
          <w:p>
            <w:r>
              <w:rPr>
                <w:rFonts w:ascii="Calibri" w:hAnsi="Calibri"/>
                <w:sz w:val="22"/>
              </w:rPr>
              <w:t>Higher volumes, stable pricing; longer lead-time products (rebar, joist/deck) margins to improve as backlog reprices</w:t>
            </w:r>
          </w:p>
        </w:tc>
        <w:tc>
          <w:tcPr>
            <w:tcW w:type="dxa" w:w="1728"/>
          </w:tcPr>
          <w:p>
            <w:r>
              <w:rPr>
                <w:rFonts w:ascii="Calibri" w:hAnsi="Calibri"/>
                <w:sz w:val="22"/>
              </w:rPr>
              <w:t>Higher volumes + slightly higher realized pricing</w:t>
            </w:r>
          </w:p>
        </w:tc>
        <w:tc>
          <w:tcPr>
            <w:tcW w:type="dxa" w:w="1728"/>
          </w:tcPr>
          <w:p>
            <w:r>
              <w:rPr>
                <w:rFonts w:ascii="Calibri" w:hAnsi="Calibri"/>
                <w:sz w:val="22"/>
              </w:rPr>
              <w:t>Segment profit consensus: $0.349B</w:t>
            </w:r>
          </w:p>
        </w:tc>
        <w:tc>
          <w:tcPr>
            <w:tcW w:type="dxa" w:w="1728"/>
          </w:tcPr>
          <w:p>
            <w:r>
              <w:rPr>
                <w:rFonts w:ascii="Calibri" w:hAnsi="Calibri"/>
                <w:sz w:val="22"/>
              </w:rPr>
              <w:t>Slightly more positive on pricing vs. Q1 call (“stable” upgraded to “slightly higher”)</w:t>
            </w:r>
          </w:p>
        </w:tc>
      </w:tr>
      <w:tr>
        <w:tc>
          <w:tcPr>
            <w:tcW w:type="dxa" w:w="1728"/>
          </w:tcPr>
          <w:p>
            <w:r>
              <w:rPr>
                <w:rFonts w:ascii="Calibri" w:hAnsi="Calibri"/>
                <w:sz w:val="22"/>
              </w:rPr>
              <w:t>Raw Materials Segment</w:t>
            </w:r>
          </w:p>
        </w:tc>
        <w:tc>
          <w:tcPr>
            <w:tcW w:type="dxa" w:w="1728"/>
          </w:tcPr>
          <w:p>
            <w:r>
              <w:rPr>
                <w:rFonts w:ascii="Calibri" w:hAnsi="Calibri"/>
                <w:sz w:val="22"/>
              </w:rPr>
              <w:t>Higher earnings expected</w:t>
            </w:r>
          </w:p>
        </w:tc>
        <w:tc>
          <w:tcPr>
            <w:tcW w:type="dxa" w:w="1728"/>
          </w:tcPr>
          <w:p>
            <w:r>
              <w:rPr>
                <w:rFonts w:ascii="Calibri" w:hAnsi="Calibri"/>
                <w:sz w:val="22"/>
              </w:rPr>
              <w:t>Higher earnings due to higher average realized prices</w:t>
            </w:r>
          </w:p>
        </w:tc>
        <w:tc>
          <w:tcPr>
            <w:tcW w:type="dxa" w:w="1728"/>
          </w:tcPr>
          <w:p>
            <w:r>
              <w:rPr>
                <w:rFonts w:ascii="Calibri" w:hAnsi="Calibri"/>
                <w:sz w:val="22"/>
              </w:rPr>
              <w:t>N/A — not separately tracked in VA</w:t>
            </w:r>
          </w:p>
        </w:tc>
        <w:tc>
          <w:tcPr>
            <w:tcW w:type="dxa" w:w="1728"/>
          </w:tcPr>
          <w:p>
            <w:r>
              <w:rPr>
                <w:rFonts w:ascii="Calibri" w:hAnsi="Calibri"/>
                <w:sz w:val="22"/>
              </w:rPr>
              <w:t>Consistent with Q1 call; no change in tone</w:t>
            </w:r>
          </w:p>
        </w:tc>
      </w:tr>
      <w:tr>
        <w:tc>
          <w:tcPr>
            <w:tcW w:type="dxa" w:w="1728"/>
          </w:tcPr>
          <w:p>
            <w:r>
              <w:rPr>
                <w:rFonts w:ascii="Calibri" w:hAnsi="Calibri"/>
                <w:sz w:val="22"/>
              </w:rPr>
              <w:t>Full-Year Volume Growth</w:t>
            </w:r>
          </w:p>
        </w:tc>
        <w:tc>
          <w:tcPr>
            <w:tcW w:type="dxa" w:w="1728"/>
          </w:tcPr>
          <w:p>
            <w:r>
              <w:rPr>
                <w:rFonts w:ascii="Calibri" w:hAnsi="Calibri"/>
                <w:sz w:val="22"/>
              </w:rPr>
              <w:t>Initially guided “more than 5%”; CEO upgraded to “closer to double digits” on Q1 call</w:t>
            </w:r>
          </w:p>
        </w:tc>
        <w:tc>
          <w:tcPr>
            <w:tcW w:type="dxa" w:w="1728"/>
          </w:tcPr>
          <w:p>
            <w:r>
              <w:rPr>
                <w:rFonts w:ascii="Calibri" w:hAnsi="Calibri"/>
                <w:sz w:val="22"/>
              </w:rPr>
              <w:t>Not re-addressed in Jun 17 release</w:t>
            </w:r>
          </w:p>
        </w:tc>
        <w:tc>
          <w:tcPr>
            <w:tcW w:type="dxa" w:w="1728"/>
          </w:tcPr>
          <w:p>
            <w:r>
              <w:rPr>
                <w:rFonts w:ascii="Calibri" w:hAnsi="Calibri"/>
                <w:sz w:val="22"/>
              </w:rPr>
              <w:t>FY 2026 shipments consensus: 21.6M tons (+5.5% YoY)</w:t>
            </w:r>
          </w:p>
        </w:tc>
        <w:tc>
          <w:tcPr>
            <w:tcW w:type="dxa" w:w="1728"/>
          </w:tcPr>
          <w:p>
            <w:r>
              <w:rPr>
                <w:rFonts w:ascii="Calibri" w:hAnsi="Calibri"/>
                <w:sz w:val="22"/>
              </w:rPr>
              <w:t>Consensus has not fully priced in CEO’s double-digit volume upgrade; potential upside</w:t>
            </w:r>
          </w:p>
        </w:tc>
      </w:tr>
      <w:tr>
        <w:tc>
          <w:tcPr>
            <w:tcW w:type="dxa" w:w="1728"/>
          </w:tcPr>
          <w:p>
            <w:r>
              <w:rPr>
                <w:rFonts w:ascii="Calibri" w:hAnsi="Calibri"/>
                <w:sz w:val="22"/>
              </w:rPr>
              <w:t>Capital Returns</w:t>
            </w:r>
          </w:p>
        </w:tc>
        <w:tc>
          <w:tcPr>
            <w:tcW w:type="dxa" w:w="1728"/>
          </w:tcPr>
          <w:p>
            <w:r>
              <w:rPr>
                <w:rFonts w:ascii="Calibri" w:hAnsi="Calibri"/>
                <w:sz w:val="22"/>
              </w:rPr>
              <w:t>New large buyback authorization announced at Q1 earnings</w:t>
            </w:r>
          </w:p>
        </w:tc>
        <w:tc>
          <w:tcPr>
            <w:tcW w:type="dxa" w:w="1728"/>
          </w:tcPr>
          <w:p>
            <w:r>
              <w:rPr>
                <w:rFonts w:ascii="Calibri" w:hAnsi="Calibri"/>
                <w:sz w:val="22"/>
              </w:rPr>
              <w:t>~1.12M shares repurchased at avg. $223.47 in Q2 YTD (as of Jun 17); ~$630M returned YTD via buybacks + dividends</w:t>
            </w:r>
          </w:p>
        </w:tc>
        <w:tc>
          <w:tcPr>
            <w:tcW w:type="dxa" w:w="1728"/>
          </w:tcPr>
          <w:p>
            <w:r>
              <w:rPr>
                <w:rFonts w:ascii="Calibri" w:hAnsi="Calibri"/>
                <w:sz w:val="22"/>
              </w:rPr>
              <w:t>N/A</w:t>
            </w:r>
          </w:p>
        </w:tc>
        <w:tc>
          <w:tcPr>
            <w:tcW w:type="dxa" w:w="1728"/>
          </w:tcPr>
          <w:p>
            <w:r>
              <w:rPr>
                <w:rFonts w:ascii="Calibri" w:hAnsi="Calibri"/>
                <w:sz w:val="22"/>
              </w:rPr>
              <w:t>Active buyback execution; consistent with capital return commitment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sharply higher since the Q1 print — Q2 2026 EPS consensus rose from $4.16 (as of May 2, 2026) to $4.46 currently (+7.2%), and FY 2026 EPS consensus rose from $14.71 to $16.80 (+14.2%) — but both remain below the guidance midpoint, suggesting the street has not fully credited management’s bullish tone. The gap between consensus and guidance is a cushion, not a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 (Jun 17 PR)</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 (%)</w:t>
            </w:r>
          </w:p>
        </w:tc>
      </w:tr>
      <w:tr>
        <w:tc>
          <w:tcPr>
            <w:tcW w:type="dxa" w:w="1080"/>
          </w:tcPr>
          <w:p>
            <w:r>
              <w:rPr>
                <w:rFonts w:ascii="Calibri" w:hAnsi="Calibri"/>
                <w:sz w:val="22"/>
              </w:rPr>
              <w:t>EPS – Diluted Operating (Q2 2026)</w:t>
            </w:r>
          </w:p>
        </w:tc>
        <w:tc>
          <w:tcPr>
            <w:tcW w:type="dxa" w:w="1080"/>
          </w:tcPr>
          <w:p>
            <w:r>
              <w:rPr>
                <w:rFonts w:ascii="Calibri" w:hAnsi="Calibri"/>
                <w:sz w:val="22"/>
              </w:rPr>
              <w:t>$4.16</w:t>
            </w:r>
          </w:p>
        </w:tc>
        <w:tc>
          <w:tcPr>
            <w:tcW w:type="dxa" w:w="1080"/>
          </w:tcPr>
          <w:p>
            <w:r>
              <w:rPr>
                <w:rFonts w:ascii="Calibri" w:hAnsi="Calibri"/>
                <w:sz w:val="22"/>
              </w:rPr>
              <w:t>$4.46</w:t>
            </w:r>
          </w:p>
        </w:tc>
        <w:tc>
          <w:tcPr>
            <w:tcW w:type="dxa" w:w="1080"/>
          </w:tcPr>
          <w:p>
            <w:r>
              <w:rPr>
                <w:rFonts w:ascii="Calibri" w:hAnsi="Calibri"/>
                <w:sz w:val="22"/>
              </w:rPr>
              <w:t>+7.2%</w:t>
            </w:r>
          </w:p>
        </w:tc>
        <w:tc>
          <w:tcPr>
            <w:tcW w:type="dxa" w:w="1080"/>
          </w:tcPr>
          <w:p>
            <w:r>
              <w:rPr>
                <w:rFonts w:ascii="Calibri" w:hAnsi="Calibri"/>
                <w:sz w:val="22"/>
              </w:rPr>
              <w:t>Higher consolidated earnings (qualitative)</w:t>
            </w:r>
          </w:p>
        </w:tc>
        <w:tc>
          <w:tcPr>
            <w:tcW w:type="dxa" w:w="1080"/>
          </w:tcPr>
          <w:p>
            <w:r>
              <w:rPr>
                <w:rFonts w:ascii="Calibri" w:hAnsi="Calibri"/>
                <w:sz w:val="22"/>
              </w:rPr>
              <w:t>$4.50–$4.60 adj.</w:t>
            </w:r>
          </w:p>
        </w:tc>
        <w:tc>
          <w:tcPr>
            <w:tcW w:type="dxa" w:w="1080"/>
          </w:tcPr>
          <w:p>
            <w:r>
              <w:rPr>
                <w:rFonts w:ascii="Calibri" w:hAnsi="Calibri"/>
                <w:sz w:val="22"/>
              </w:rPr>
              <w:t>↑ Explicit range issued</w:t>
            </w:r>
          </w:p>
        </w:tc>
        <w:tc>
          <w:tcPr>
            <w:tcW w:type="dxa" w:w="1080"/>
          </w:tcPr>
          <w:p>
            <w:r>
              <w:rPr>
                <w:rFonts w:ascii="Calibri" w:hAnsi="Calibri"/>
                <w:sz w:val="22"/>
              </w:rPr>
              <w:t>−1.0% below midpoint ($4.55)</w:t>
            </w:r>
          </w:p>
        </w:tc>
      </w:tr>
      <w:tr>
        <w:tc>
          <w:tcPr>
            <w:tcW w:type="dxa" w:w="1080"/>
          </w:tcPr>
          <w:p>
            <w:r>
              <w:rPr>
                <w:rFonts w:ascii="Calibri" w:hAnsi="Calibri"/>
                <w:sz w:val="22"/>
              </w:rPr>
              <w:t>EPS – Diluted Operating (FY 2026)</w:t>
            </w:r>
          </w:p>
        </w:tc>
        <w:tc>
          <w:tcPr>
            <w:tcW w:type="dxa" w:w="1080"/>
          </w:tcPr>
          <w:p>
            <w:r>
              <w:rPr>
                <w:rFonts w:ascii="Calibri" w:hAnsi="Calibri"/>
                <w:sz w:val="22"/>
              </w:rPr>
              <w:t>$14.71</w:t>
            </w:r>
          </w:p>
        </w:tc>
        <w:tc>
          <w:tcPr>
            <w:tcW w:type="dxa" w:w="1080"/>
          </w:tcPr>
          <w:p>
            <w:r>
              <w:rPr>
                <w:rFonts w:ascii="Calibri" w:hAnsi="Calibri"/>
                <w:sz w:val="22"/>
              </w:rPr>
              <w:t>$16.80</w:t>
            </w:r>
          </w:p>
        </w:tc>
        <w:tc>
          <w:tcPr>
            <w:tcW w:type="dxa" w:w="1080"/>
          </w:tcPr>
          <w:p>
            <w:r>
              <w:rPr>
                <w:rFonts w:ascii="Calibri" w:hAnsi="Calibri"/>
                <w:sz w:val="22"/>
              </w:rPr>
              <w:t>+14.2%</w:t>
            </w:r>
          </w:p>
        </w:tc>
        <w:tc>
          <w:tcPr>
            <w:tcW w:type="dxa" w:w="1080"/>
          </w:tcPr>
          <w:p>
            <w:r>
              <w:rPr>
                <w:rFonts w:ascii="Calibri" w:hAnsi="Calibri"/>
                <w:sz w:val="22"/>
              </w:rPr>
              <w:t>Earnings &amp; cash flow to trend significantly higher than 2025</w:t>
            </w:r>
          </w:p>
        </w:tc>
        <w:tc>
          <w:tcPr>
            <w:tcW w:type="dxa" w:w="1080"/>
          </w:tcPr>
          <w:p>
            <w:r>
              <w:rPr>
                <w:rFonts w:ascii="Calibri" w:hAnsi="Calibri"/>
                <w:sz w:val="22"/>
              </w:rPr>
              <w:t>No change to FY guidance</w:t>
            </w:r>
          </w:p>
        </w:tc>
        <w:tc>
          <w:tcPr>
            <w:tcW w:type="dxa" w:w="1080"/>
          </w:tcPr>
          <w:p>
            <w:r>
              <w:rPr>
                <w:rFonts w:ascii="Calibri" w:hAnsi="Calibri"/>
                <w:sz w:val="22"/>
              </w:rPr>
              <w:t>Unchanged</w:t>
            </w:r>
          </w:p>
        </w:tc>
        <w:tc>
          <w:tcPr>
            <w:tcW w:type="dxa" w:w="1080"/>
          </w:tcPr>
          <w:p>
            <w:r>
              <w:rPr>
                <w:rFonts w:ascii="Calibri" w:hAnsi="Calibri"/>
                <w:sz w:val="22"/>
              </w:rPr>
              <w:t>N/A — no explicit FY EPS range</w:t>
            </w:r>
          </w:p>
        </w:tc>
      </w:tr>
      <w:tr>
        <w:tc>
          <w:tcPr>
            <w:tcW w:type="dxa" w:w="1080"/>
          </w:tcPr>
          <w:p>
            <w:r>
              <w:rPr>
                <w:rFonts w:ascii="Calibri" w:hAnsi="Calibri"/>
                <w:sz w:val="22"/>
              </w:rPr>
              <w:t>Total Revenue (Q2 2026, $B)</w:t>
            </w:r>
          </w:p>
        </w:tc>
        <w:tc>
          <w:tcPr>
            <w:tcW w:type="dxa" w:w="1080"/>
          </w:tcPr>
          <w:p>
            <w:r>
              <w:rPr>
                <w:rFonts w:ascii="Calibri" w:hAnsi="Calibri"/>
                <w:sz w:val="22"/>
              </w:rPr>
              <w:t>$9.99B</w:t>
            </w:r>
          </w:p>
        </w:tc>
        <w:tc>
          <w:tcPr>
            <w:tcW w:type="dxa" w:w="1080"/>
          </w:tcPr>
          <w:p>
            <w:r>
              <w:rPr>
                <w:rFonts w:ascii="Calibri" w:hAnsi="Calibri"/>
                <w:sz w:val="22"/>
              </w:rPr>
              <w:t>$9.99B</w:t>
            </w:r>
          </w:p>
        </w:tc>
        <w:tc>
          <w:tcPr>
            <w:tcW w:type="dxa" w:w="1080"/>
          </w:tcPr>
          <w:p>
            <w:r>
              <w:rPr>
                <w:rFonts w:ascii="Calibri" w:hAnsi="Calibri"/>
                <w:sz w:val="22"/>
              </w:rPr>
              <w:t>~0%</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 2026, $B)</w:t>
            </w:r>
          </w:p>
        </w:tc>
        <w:tc>
          <w:tcPr>
            <w:tcW w:type="dxa" w:w="1080"/>
          </w:tcPr>
          <w:p>
            <w:r>
              <w:rPr>
                <w:rFonts w:ascii="Calibri" w:hAnsi="Calibri"/>
                <w:sz w:val="22"/>
              </w:rPr>
              <w:t>$38.12B</w:t>
            </w:r>
          </w:p>
        </w:tc>
        <w:tc>
          <w:tcPr>
            <w:tcW w:type="dxa" w:w="1080"/>
          </w:tcPr>
          <w:p>
            <w:r>
              <w:rPr>
                <w:rFonts w:ascii="Calibri" w:hAnsi="Calibri"/>
                <w:sz w:val="22"/>
              </w:rPr>
              <w:t>$38.74B</w:t>
            </w:r>
          </w:p>
        </w:tc>
        <w:tc>
          <w:tcPr>
            <w:tcW w:type="dxa" w:w="1080"/>
          </w:tcPr>
          <w:p>
            <w:r>
              <w:rPr>
                <w:rFonts w:ascii="Calibri" w:hAnsi="Calibri"/>
                <w:sz w:val="22"/>
              </w:rPr>
              <w:t>+1.6%</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EBITDA (Q2 2026, $B)</w:t>
            </w:r>
          </w:p>
        </w:tc>
        <w:tc>
          <w:tcPr>
            <w:tcW w:type="dxa" w:w="1080"/>
          </w:tcPr>
          <w:p>
            <w:r>
              <w:rPr>
                <w:rFonts w:ascii="Calibri" w:hAnsi="Calibri"/>
                <w:sz w:val="22"/>
              </w:rPr>
              <w:t>$1.781B</w:t>
            </w:r>
          </w:p>
        </w:tc>
        <w:tc>
          <w:tcPr>
            <w:tcW w:type="dxa" w:w="1080"/>
          </w:tcPr>
          <w:p>
            <w:r>
              <w:rPr>
                <w:rFonts w:ascii="Calibri" w:hAnsi="Calibri"/>
                <w:sz w:val="22"/>
              </w:rPr>
              <w:t>$1.887B</w:t>
            </w:r>
          </w:p>
        </w:tc>
        <w:tc>
          <w:tcPr>
            <w:tcW w:type="dxa" w:w="1080"/>
          </w:tcPr>
          <w:p>
            <w:r>
              <w:rPr>
                <w:rFonts w:ascii="Calibri" w:hAnsi="Calibri"/>
                <w:sz w:val="22"/>
              </w:rPr>
              <w:t>+5.9%</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EBITDA (FY 2026, $B)</w:t>
            </w:r>
          </w:p>
        </w:tc>
        <w:tc>
          <w:tcPr>
            <w:tcW w:type="dxa" w:w="1080"/>
          </w:tcPr>
          <w:p>
            <w:r>
              <w:rPr>
                <w:rFonts w:ascii="Calibri" w:hAnsi="Calibri"/>
                <w:sz w:val="22"/>
              </w:rPr>
              <w:t>$6.403B</w:t>
            </w:r>
          </w:p>
        </w:tc>
        <w:tc>
          <w:tcPr>
            <w:tcW w:type="dxa" w:w="1080"/>
          </w:tcPr>
          <w:p>
            <w:r>
              <w:rPr>
                <w:rFonts w:ascii="Calibri" w:hAnsi="Calibri"/>
                <w:sz w:val="22"/>
              </w:rPr>
              <w:t>$7.086B</w:t>
            </w:r>
          </w:p>
        </w:tc>
        <w:tc>
          <w:tcPr>
            <w:tcW w:type="dxa" w:w="1080"/>
          </w:tcPr>
          <w:p>
            <w:r>
              <w:rPr>
                <w:rFonts w:ascii="Calibri" w:hAnsi="Calibri"/>
                <w:sz w:val="22"/>
              </w:rPr>
              <w:t>+10.7%</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Steel Mills Shipments (Q2 2026, M tons)</w:t>
            </w:r>
          </w:p>
        </w:tc>
        <w:tc>
          <w:tcPr>
            <w:tcW w:type="dxa" w:w="1080"/>
          </w:tcPr>
          <w:p>
            <w:r>
              <w:rPr>
                <w:rFonts w:ascii="Calibri" w:hAnsi="Calibri"/>
                <w:sz w:val="22"/>
              </w:rPr>
              <w:t>5.553M</w:t>
            </w:r>
          </w:p>
        </w:tc>
        <w:tc>
          <w:tcPr>
            <w:tcW w:type="dxa" w:w="1080"/>
          </w:tcPr>
          <w:p>
            <w:r>
              <w:rPr>
                <w:rFonts w:ascii="Calibri" w:hAnsi="Calibri"/>
                <w:sz w:val="22"/>
              </w:rPr>
              <w:t>5.532M</w:t>
            </w:r>
          </w:p>
        </w:tc>
        <w:tc>
          <w:tcPr>
            <w:tcW w:type="dxa" w:w="1080"/>
          </w:tcPr>
          <w:p>
            <w:r>
              <w:rPr>
                <w:rFonts w:ascii="Calibri" w:hAnsi="Calibri"/>
                <w:sz w:val="22"/>
              </w:rPr>
              <w:t>−0.4%</w:t>
            </w:r>
          </w:p>
        </w:tc>
        <w:tc>
          <w:tcPr>
            <w:tcW w:type="dxa" w:w="1080"/>
          </w:tcPr>
          <w:p>
            <w:r>
              <w:rPr>
                <w:rFonts w:ascii="Calibri" w:hAnsi="Calibri"/>
                <w:sz w:val="22"/>
              </w:rPr>
              <w:t>Stable volumes</w:t>
            </w:r>
          </w:p>
        </w:tc>
        <w:tc>
          <w:tcPr>
            <w:tcW w:type="dxa" w:w="1080"/>
          </w:tcPr>
          <w:p>
            <w:r>
              <w:rPr>
                <w:rFonts w:ascii="Calibri" w:hAnsi="Calibri"/>
                <w:sz w:val="22"/>
              </w:rPr>
              <w:t>Stable volumes (unchanged)</w:t>
            </w:r>
          </w:p>
        </w:tc>
        <w:tc>
          <w:tcPr>
            <w:tcW w:type="dxa" w:w="1080"/>
          </w:tcPr>
          <w:p>
            <w:r>
              <w:rPr>
                <w:rFonts w:ascii="Calibri" w:hAnsi="Calibri"/>
                <w:sz w:val="22"/>
              </w:rPr>
              <w:t>Unchanged</w:t>
            </w:r>
          </w:p>
        </w:tc>
        <w:tc>
          <w:tcPr>
            <w:tcW w:type="dxa" w:w="1080"/>
          </w:tcPr>
          <w:p>
            <w:r>
              <w:rPr>
                <w:rFonts w:ascii="Calibri" w:hAnsi="Calibri"/>
                <w:sz w:val="22"/>
              </w:rPr>
              <w:t>In line with guidance</w:t>
            </w:r>
          </w:p>
        </w:tc>
      </w:tr>
    </w:tbl>
    <w:p>
      <w:r>
        <w:rPr>
          <w:rFonts w:ascii="Calibri" w:hAnsi="Calibri"/>
          <w:color w:val="525866"/>
          <w:sz w:val="22"/>
        </w:rPr>
        <w:t>The most notable revision dynamic is the FY 2026 EPS upgrade of +14.2% since the Q1 print, driven by the Q1 beat itself and the constructive Q2 guidance. Despite this, consensus FY EPS of $16.80 still implies a meaningful deceleration in H2 2026 relative to the H1 run-rate, which appears conservative given management’s commentary about the “pent-up tsunami of earnings power” from recently completed projects. The $130M raw material refund in Q2 is a one-time benefit but the underlying ASP and volume trajectory is structural.</w:t>
      </w:r>
    </w:p>
    <w:p>
      <w:r>
        <w:rPr>
          <w:rFonts w:ascii="Calibri" w:hAnsi="Calibri"/>
          <w:i/>
          <w:color w:val="525866"/>
          <w:sz w:val="22"/>
        </w:rPr>
        <w:t>Source: Visible Alpha Consensus and Actuals Data. Post-earnings baseline as of May 2, 2026 (5 trading days after April 27, 2026 Q1 earnings release).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NUE has dramatically outperformed both its sector ETF (XME −15.3%) and the S&amp;P 500 (+3.3%) since the Q1 2026 earnings print, gaining +15.2% on a combination of estimate revisions and multiple re-rating — the stock peaked near $266 in early June before pulling back ~7% on import concerns and sector rotation, and has since recovered to ~$248, suggesting the market is still constructive but watching the import/pricing dynamic closely.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NUE vs. XME (SPDR S&amp;P Metals &amp; Mining ETF) vs. S&amp;P 500 (SPY) — Indexed to 100 at Q1 2026 Earnings Date (April 27, 2026). Source: Stock Price Data.</w:t>
      </w:r>
    </w:p>
    <w:p>
      <w:r>
        <w:rPr>
          <w:rFonts w:ascii="Calibri" w:hAnsi="Calibri"/>
          <w:b/>
          <w:color w:val="525866"/>
          <w:sz w:val="22"/>
        </w:rPr>
        <w:t xml:space="preserve">Performance Summary (Apr 27 – Jul 24, 2026): </w:t>
      </w:r>
      <w:r>
        <w:rPr>
          <w:rFonts w:ascii="Calibri" w:hAnsi="Calibri"/>
          <w:color w:val="525866"/>
          <w:sz w:val="22"/>
        </w:rPr>
        <w:t>NUE +15.2% | XME −15.3% | SPY +3.3%</w:t>
      </w:r>
    </w:p>
    <w:p>
      <w:r>
        <w:rPr>
          <w:rFonts w:ascii="Calibri" w:hAnsi="Calibri"/>
          <w:color w:val="525866"/>
          <w:sz w:val="22"/>
        </w:rPr>
        <w:t>NUE’s outperformance vs. XME of ~30 percentage points since the Q1 print is striking and reflects the company’s idiosyncratic story: record shipments, constructive Q2 guidance, and the market’s growing confidence in the earnings harvest from ~$20B of capital invested since 2020. The stock rallied sharply from $215 at the Q1 print to a peak of ~$266 on June 4–5, 2026, driven by the Q2 guidance release on June 17 (which confirmed all three segments higher) and continued positive sector data. The subsequent pullback to ~$222 by July 1 coincided with broader sector weakness in XME (which fell from ~$128 to ~$104 over the same period) as import re-acceleration concerns emerged from STLD’s Q2 commentary. The recovery to ~$248 by July 24 suggests the market is treating the import risk as manageable rather than structural. The sector ETF used is XME (SPDR S&amp;P Metals &amp; Mining ETF), which is the most appropriate benchmark for NUE’s sub-sector given its heavy weighting to domestic steel and metals producers.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17 Q2 guidance release confirming all three segments higher with an incremental $130M raw material refund tailwind — this was not in the original Q1 call outlook and is a meaningful positive surprise for Q2 margins. The secondary watch item is the import re-acceleration flagged by STLD in late July, which could pressure Q3 pricing commentary.</w:t>
      </w:r>
    </w:p>
    <w:p>
      <w:pPr>
        <w:pStyle w:val="ListBullet"/>
        <w:ind w:left="360" w:hanging="360"/>
      </w:pPr>
      <w:r>
        <w:rPr>
          <w:rFonts w:ascii="Calibri" w:hAnsi="Calibri"/>
          <w:b/>
          <w:color w:val="525866"/>
          <w:sz w:val="22"/>
        </w:rPr>
        <w:t>June 17, 2026 — Q2 2026 Guidance Press Release:</w:t>
      </w:r>
      <w:r>
        <w:rPr>
          <w:rFonts w:ascii="Calibri" w:hAnsi="Calibri"/>
          <w:color w:val="525866"/>
          <w:sz w:val="22"/>
        </w:rPr>
        <w:t xml:space="preserve"> Nucor guided Q2 adjusted EPS to $4.50–$4.60 (reported $4.70–$4.80 including ~$0.20 Helion non-cash benefit). All three segments guided higher vs. Q1, with steel mills seeing the largest sequential increase. Critically, guidance includes ~$130M of cash refunds related to prior-period raw material procurement costs that will benefit steel mills COGS — an incremental positive not flagged on the Q1 call. As of June 17, NUE had repurchased ~1.12M shares at avg. $223.47 in Q2 and returned ~$630M YTD via buybacks and dividends. </w:t>
      </w:r>
      <w:r>
        <w:rPr>
          <w:rFonts w:ascii="Calibri" w:hAnsi="Calibri"/>
          <w:color w:val="525866"/>
          <w:sz w:val="22"/>
        </w:rPr>
        <w:t>Implication: Guidance midpoint of $4.55 adj. is above current consensus of $4.46, setting up for another beat if volumes hold.</w:t>
      </w:r>
    </w:p>
    <w:p>
      <w:pPr>
        <w:pStyle w:val="ListBullet"/>
        <w:ind w:left="360" w:hanging="360"/>
      </w:pPr>
      <w:r>
        <w:rPr>
          <w:rFonts w:ascii="Calibri" w:hAnsi="Calibri"/>
          <w:b/>
          <w:color w:val="525866"/>
          <w:sz w:val="22"/>
        </w:rPr>
        <w:t>June 22, 2026 — Needham Retirement 8-K/A:</w:t>
      </w:r>
      <w:r>
        <w:rPr>
          <w:rFonts w:ascii="Calibri" w:hAnsi="Calibri"/>
          <w:color w:val="525866"/>
          <w:sz w:val="22"/>
        </w:rPr>
        <w:t xml:space="preserve"> Daniel Needham (EVP) formally retired effective June 20, 2026, with a $254,972/month separation payment for 24 months (~$6.1M total) and standard non-compete/non-solicit covenants. The original 8-K was filed March 3, 2026; this amendment provided the financial terms. </w:t>
      </w:r>
      <w:r>
        <w:rPr>
          <w:rFonts w:ascii="Calibri" w:hAnsi="Calibri"/>
          <w:color w:val="525866"/>
          <w:sz w:val="22"/>
        </w:rPr>
        <w:t>Implication: Leadership transition is largely complete (Sullivan to CFO, Laxton to EVP Strategy); no operational disruption expected, but the separation package size attracted media attention.</w:t>
      </w:r>
    </w:p>
    <w:p>
      <w:pPr>
        <w:pStyle w:val="ListBullet"/>
        <w:ind w:left="360" w:hanging="360"/>
      </w:pPr>
      <w:r>
        <w:rPr>
          <w:rFonts w:ascii="Calibri" w:hAnsi="Calibri"/>
          <w:b/>
          <w:color w:val="525866"/>
          <w:sz w:val="22"/>
        </w:rPr>
        <w:t>April 28, 2026 — Q1 2026 Earnings Call — Record Shipments &amp; Upgraded Volume Guidance:</w:t>
      </w:r>
      <w:r>
        <w:rPr>
          <w:rFonts w:ascii="Calibri" w:hAnsi="Calibri"/>
          <w:color w:val="525866"/>
          <w:sz w:val="22"/>
        </w:rPr>
        <w:t xml:space="preserve"> Q1 2026 delivered record quarterly steel mill shipments of 7 million tons (highest in company history). CEO Topalian upgraded full-year volume growth from “more than 5%” to “closer to double digits.” Backlog reached 4.7M tons, highest since Q2 2021 (+20% from year-end). Structural backlogs described as “beyond numbers we’ve ever seen.” </w:t>
      </w:r>
      <w:r>
        <w:rPr>
          <w:rFonts w:ascii="Calibri" w:hAnsi="Calibri"/>
          <w:color w:val="525866"/>
          <w:sz w:val="22"/>
        </w:rPr>
        <w:t>Implication: Volume trajectory is the strongest in years; Q2 consensus of 5.53M tons may be conservative.</w:t>
      </w:r>
    </w:p>
    <w:p>
      <w:pPr>
        <w:pStyle w:val="ListBullet"/>
        <w:ind w:left="360" w:hanging="360"/>
      </w:pPr>
      <w:r>
        <w:rPr>
          <w:rFonts w:ascii="Calibri" w:hAnsi="Calibri"/>
          <w:b/>
          <w:color w:val="525866"/>
          <w:sz w:val="22"/>
        </w:rPr>
        <w:t>April 28, 2026 — Q1 2026 Earnings Call — Import Share Decline &amp; Trade Policy:</w:t>
      </w:r>
      <w:r>
        <w:rPr>
          <w:rFonts w:ascii="Calibri" w:hAnsi="Calibri"/>
          <w:color w:val="525866"/>
          <w:sz w:val="22"/>
        </w:rPr>
        <w:t xml:space="preserve"> Import share of U.S. finished steel market declined from &gt;22% in Q1 2025 to ~15% in Q1 2026. Section 232 tariffs (50%) and trade remedy orders credited. Imports tracking 4M tons or under in 2026 vs. ~9M tons in 2024, creating a “5 million ton window of serviceable market for domestic suppliers.” </w:t>
      </w:r>
      <w:r>
        <w:rPr>
          <w:rFonts w:ascii="Calibri" w:hAnsi="Calibri"/>
          <w:color w:val="525866"/>
          <w:sz w:val="22"/>
        </w:rPr>
        <w:t>Implication: Structural tailwind for domestic pricing and volume; however, STLD’s July commentary on import re-acceleration from three Asian countries is a watch item for Q3.</w:t>
      </w:r>
    </w:p>
    <w:p>
      <w:pPr>
        <w:pStyle w:val="ListBullet"/>
        <w:ind w:left="360" w:hanging="360"/>
      </w:pPr>
      <w:r>
        <w:rPr>
          <w:rFonts w:ascii="Calibri" w:hAnsi="Calibri"/>
          <w:b/>
          <w:color w:val="525866"/>
          <w:sz w:val="22"/>
        </w:rPr>
        <w:t>April 28, 2026 — Q1 2026 Earnings Call — Project Ramp-Ups Confirmed EBITDA Positive:</w:t>
      </w:r>
      <w:r>
        <w:rPr>
          <w:rFonts w:ascii="Calibri" w:hAnsi="Calibri"/>
          <w:color w:val="525866"/>
          <w:sz w:val="22"/>
        </w:rPr>
        <w:t xml:space="preserve"> Lexington rebar, Kingman melt shop, and Crawfordsville galvanizing line all confirmed EBITDA positive in March 2026. Alabama Towers on track for EBITDA positive by end of summer 2026. West Virginia sheet mill ~85% through construction; commercial shipments beginning early 2027, targeting ~50% capacity utilization by end of 2027. </w:t>
      </w:r>
      <w:r>
        <w:rPr>
          <w:rFonts w:ascii="Calibri" w:hAnsi="Calibri"/>
          <w:color w:val="525866"/>
          <w:sz w:val="22"/>
        </w:rPr>
        <w:t>Implication: The “earnings harvest” thesis is materializing on schedule; WV mill is the next major catalyst.</w:t>
      </w:r>
    </w:p>
    <w:p>
      <w:pPr>
        <w:pStyle w:val="ListBullet"/>
        <w:ind w:left="360" w:hanging="360"/>
      </w:pPr>
      <w:r>
        <w:rPr>
          <w:rFonts w:ascii="Calibri" w:hAnsi="Calibri"/>
          <w:b/>
          <w:color w:val="525866"/>
          <w:sz w:val="22"/>
        </w:rPr>
        <w:t>April 28, 2026 — Q1 2026 Earnings Call — Data Center &amp; Infrastructure Demand:</w:t>
      </w:r>
      <w:r>
        <w:rPr>
          <w:rFonts w:ascii="Calibri" w:hAnsi="Calibri"/>
          <w:color w:val="525866"/>
          <w:sz w:val="22"/>
        </w:rPr>
        <w:t xml:space="preserve"> Nucor supplies ~95% of steel demand for entire data center supply chain. CEO described data center demand as “really strong” and a strategic priority. Border fence project expected to contribute 1–1.5M tons over 2026–2027. </w:t>
      </w:r>
      <w:r>
        <w:rPr>
          <w:rFonts w:ascii="Calibri" w:hAnsi="Calibri"/>
          <w:color w:val="525866"/>
          <w:sz w:val="22"/>
        </w:rPr>
        <w:t>Implication: Secular demand drivers (data centers, infrastructure, reshoring) provide multi-year volume visibility beyond cyclical steel demand.</w:t>
      </w:r>
    </w:p>
    <w:p>
      <w:pPr>
        <w:pStyle w:val="ListBullet"/>
        <w:ind w:left="360" w:hanging="360"/>
      </w:pPr>
      <w:r>
        <w:rPr>
          <w:rFonts w:ascii="Calibri" w:hAnsi="Calibri"/>
          <w:b/>
          <w:color w:val="525866"/>
          <w:sz w:val="22"/>
        </w:rPr>
        <w:t>July 14, 2026 — Q2 2026 Conference Call Announcement:</w:t>
      </w:r>
      <w:r>
        <w:rPr>
          <w:rFonts w:ascii="Calibri" w:hAnsi="Calibri"/>
          <w:color w:val="525866"/>
          <w:sz w:val="22"/>
        </w:rPr>
        <w:t xml:space="preserve"> Nucor announced the Q2 2026 earnings conference call, confirming the upcoming print. No financial details provided.</w:t>
      </w:r>
    </w:p>
    <w:p>
      <w:r>
        <w:br w:type="page"/>
      </w:r>
    </w:p>
    <w:p>
      <w:pPr>
        <w:pStyle w:val="Heading2"/>
      </w:pPr>
      <w:r>
        <w:rPr>
          <w:rFonts w:ascii="Calibri" w:hAnsi="Calibri"/>
          <w:b/>
          <w:color w:val="3B4259"/>
          <w:sz w:val="28"/>
        </w:rPr>
        <w:t>7. Peer Commentaries — Last 60 Days (Q2 2026 Read-Throughs)</w:t>
      </w:r>
    </w:p>
    <w:p>
      <w:r>
        <w:rPr>
          <w:rFonts w:ascii="Calibri" w:hAnsi="Calibri"/>
          <w:b/>
          <w:color w:val="525866"/>
          <w:sz w:val="22"/>
        </w:rPr>
        <w:t xml:space="preserve">Key Takeaway: </w:t>
      </w:r>
      <w:r>
        <w:rPr>
          <w:rFonts w:ascii="Calibri" w:hAnsi="Calibri"/>
          <w:color w:val="525866"/>
          <w:sz w:val="22"/>
        </w:rPr>
        <w:t>Peer commentary from Q2 2026 earnings (STLD, RS, CLF — all reported July 21–23, 2026) and CMC’s fiscal Q3 2026 (reported June 25, 2026) is overwhelmingly constructive for NUE’s Q2 print: record shipments, higher ASPs, extended lead times, and strong nonresidential/infrastructure demand are consistent themes. The one cautionary note — import re-acceleration from Asian countries “shipping through the 232s” flagged by STLD — is the key read-through risk for NUE’s Q3 outlook commentary.</w:t>
      </w:r>
    </w:p>
    <w:p>
      <w:pPr>
        <w:pStyle w:val="Heading3"/>
      </w:pPr>
      <w:r>
        <w:rPr>
          <w:rFonts w:ascii="Calibri" w:hAnsi="Calibri"/>
          <w:b/>
          <w:color w:val="3B4259"/>
          <w:sz w:val="24"/>
        </w:rPr>
        <w:t>Steel Dynamics (STLD) — Q2 2026 Earnings Call (July 21, 2026)</w:t>
      </w:r>
    </w:p>
    <w:p>
      <w:r>
        <w:rPr>
          <w:rFonts w:ascii="Calibri" w:hAnsi="Calibri"/>
          <w:b/>
          <w:color w:val="525866"/>
          <w:sz w:val="22"/>
        </w:rPr>
        <w:t xml:space="preserve">Relevance to NUE: </w:t>
      </w:r>
      <w:r>
        <w:rPr>
          <w:rFonts w:ascii="Calibri" w:hAnsi="Calibri"/>
          <w:color w:val="525866"/>
          <w:sz w:val="22"/>
        </w:rPr>
        <w:t>STLD is NUE’s closest EAF peer (flat roll + long products + fabrication). STLD’s Q2 results are the most direct read-through for NUE’s steel mills segment performance.</w:t>
      </w:r>
    </w:p>
    <w:p>
      <w:pPr>
        <w:pStyle w:val="ListBullet"/>
        <w:ind w:left="360" w:hanging="360"/>
      </w:pPr>
      <w:r>
        <w:rPr>
          <w:rFonts w:ascii="Calibri" w:hAnsi="Calibri"/>
          <w:b/>
          <w:color w:val="525866"/>
          <w:sz w:val="22"/>
        </w:rPr>
        <w:t>Record steel shipments of 3.7M tons in Q2 2026</w:t>
      </w:r>
      <w:r>
        <w:rPr>
          <w:rFonts w:ascii="Calibri" w:hAnsi="Calibri"/>
          <w:color w:val="525866"/>
          <w:sz w:val="22"/>
        </w:rPr>
        <w:t xml:space="preserve"> — STLD reported record quarterly steel shipments, with steel mills operating at 90% utilization vs. the domestic industry’s 81%. </w:t>
      </w:r>
      <w:r>
        <w:rPr>
          <w:rFonts w:ascii="Calibri" w:hAnsi="Calibri"/>
          <w:color w:val="525866"/>
          <w:sz w:val="22"/>
        </w:rPr>
        <w:t>NUE read-through: Strongly positive for NUE’s Q2 shipment volume; NUE guided “stable volumes” vs. Q1’s record 5.62M tons, and STLD’s record shipments suggest industry demand was robust throughout the quarter.</w:t>
      </w:r>
    </w:p>
    <w:p>
      <w:pPr>
        <w:pStyle w:val="ListBullet"/>
        <w:ind w:left="360" w:hanging="360"/>
      </w:pPr>
      <w:r>
        <w:rPr>
          <w:rFonts w:ascii="Calibri" w:hAnsi="Calibri"/>
          <w:b/>
          <w:color w:val="525866"/>
          <w:sz w:val="22"/>
        </w:rPr>
        <w:t>Average selling prices per ton increased $105 sequentially</w:t>
      </w:r>
      <w:r>
        <w:rPr>
          <w:rFonts w:ascii="Calibri" w:hAnsi="Calibri"/>
          <w:color w:val="525866"/>
          <w:sz w:val="22"/>
        </w:rPr>
        <w:t xml:space="preserve"> — STLD’s steel operations saw ASP rise $105/ton QoQ, with value-added spreads to hot band improving $70/ton from Q4 2025 lows. Galvanized-to-HRC spread widened from &lt;$100 to &gt;$220. </w:t>
      </w:r>
      <w:r>
        <w:rPr>
          <w:rFonts w:ascii="Calibri" w:hAnsi="Calibri"/>
          <w:color w:val="525866"/>
          <w:sz w:val="22"/>
        </w:rPr>
        <w:t>NUE read-through: Directly supports NUE’s guidance for “higher average selling prices” in Q2; sheet and plate businesses are NUE’s guided largest contributors to sequential increase.</w:t>
      </w:r>
    </w:p>
    <w:p>
      <w:pPr>
        <w:pStyle w:val="ListBullet"/>
        <w:ind w:left="360" w:hanging="360"/>
      </w:pPr>
      <w:r>
        <w:rPr>
          <w:rFonts w:ascii="Calibri" w:hAnsi="Calibri"/>
          <w:b/>
          <w:color w:val="525866"/>
          <w:sz w:val="22"/>
        </w:rPr>
        <w:t>Steel fabrication backlog up 45% YoY (volume-specific, not pricing)</w:t>
      </w:r>
      <w:r>
        <w:rPr>
          <w:rFonts w:ascii="Calibri" w:hAnsi="Calibri"/>
          <w:color w:val="525866"/>
          <w:sz w:val="22"/>
        </w:rPr>
        <w:t xml:space="preserve"> — Contractor project backlogs at &gt;9 months in May, near highest in several years. Dodge Momentum Index up &gt;30% YoY. </w:t>
      </w:r>
      <w:r>
        <w:rPr>
          <w:rFonts w:ascii="Calibri" w:hAnsi="Calibri"/>
          <w:color w:val="525866"/>
          <w:sz w:val="22"/>
        </w:rPr>
        <w:t>NUE read-through: Confirms NUE’s structural backlog commentary; NUE’s own structural backlogs described as “beyond numbers we’ve ever seen.”</w:t>
      </w:r>
    </w:p>
    <w:p>
      <w:pPr>
        <w:pStyle w:val="ListBullet"/>
        <w:ind w:left="360" w:hanging="360"/>
      </w:pPr>
      <w:r>
        <w:rPr>
          <w:rFonts w:ascii="Calibri" w:hAnsi="Calibri"/>
          <w:b/>
          <w:color w:val="525866"/>
          <w:sz w:val="22"/>
        </w:rPr>
        <w:t>Import re-acceleration — KEY RISK:</w:t>
      </w:r>
      <w:r>
        <w:rPr>
          <w:rFonts w:ascii="Calibri" w:hAnsi="Calibri"/>
          <w:color w:val="525866"/>
          <w:sz w:val="22"/>
        </w:rPr>
        <w:t xml:space="preserve"> STLD flagged that steel imports have increased month-over-month in recent months, with July “up noticeably versus June.” Three Asian countries are “shipping through the 232s” at “very high accelerated rates” that STLD described as “disruptive.” The company hopes the administration will rein this in but acknowledged the short-term disruption. </w:t>
      </w:r>
      <w:r>
        <w:rPr>
          <w:rFonts w:ascii="Calibri" w:hAnsi="Calibri"/>
          <w:color w:val="525866"/>
          <w:sz w:val="22"/>
        </w:rPr>
        <w:t>NUE read-through: This is the most important cautionary signal for NUE’s Q3 outlook. NUE’s Q2 guidance was set before this dynamic became visible; Q3 pricing commentary will be closely watched.</w:t>
      </w:r>
    </w:p>
    <w:p>
      <w:pPr>
        <w:pStyle w:val="ListBullet"/>
        <w:ind w:left="360" w:hanging="360"/>
      </w:pPr>
      <w:r>
        <w:rPr>
          <w:rFonts w:ascii="Calibri" w:hAnsi="Calibri"/>
          <w:b/>
          <w:color w:val="525866"/>
          <w:sz w:val="22"/>
        </w:rPr>
        <w:t>Scrap pricing expected to remain relatively steady</w:t>
      </w:r>
      <w:r>
        <w:rPr>
          <w:rFonts w:ascii="Calibri" w:hAnsi="Calibri"/>
          <w:color w:val="525866"/>
          <w:sz w:val="22"/>
        </w:rPr>
        <w:t xml:space="preserve"> — Scrap flows remain seasonably strong with ample supply. Section 301 against Brazil pig iron imports described as a “good victory for the mini mill industry.” </w:t>
      </w:r>
      <w:r>
        <w:rPr>
          <w:rFonts w:ascii="Calibri" w:hAnsi="Calibri"/>
          <w:color w:val="525866"/>
          <w:sz w:val="22"/>
        </w:rPr>
        <w:t>NUE read-through: Stable scrap costs support NUE’s EAF cost structure; no margin headwind from raw materials in Q2.</w:t>
      </w:r>
    </w:p>
    <w:p>
      <w:pPr>
        <w:pStyle w:val="ListBullet"/>
        <w:ind w:left="360" w:hanging="360"/>
      </w:pPr>
      <w:r>
        <w:rPr>
          <w:rFonts w:ascii="Calibri" w:hAnsi="Calibri"/>
          <w:b/>
          <w:color w:val="525866"/>
          <w:sz w:val="22"/>
        </w:rPr>
        <w:t>Aluminum rolling mill at 50% capacity in Q2, targeting 90%+ exit rate by year-end</w:t>
      </w:r>
      <w:r>
        <w:rPr>
          <w:rFonts w:ascii="Calibri" w:hAnsi="Calibri"/>
          <w:color w:val="525866"/>
          <w:sz w:val="22"/>
        </w:rPr>
        <w:t xml:space="preserve"> — STLD’s aluminum platform is ramping; not directly relevant to NUE but confirms the broader theme of new capacity coming online across the industry.</w:t>
      </w:r>
    </w:p>
    <w:p>
      <w:pPr>
        <w:pStyle w:val="Heading3"/>
      </w:pPr>
      <w:r>
        <w:rPr>
          <w:rFonts w:ascii="Calibri" w:hAnsi="Calibri"/>
          <w:b/>
          <w:color w:val="3B4259"/>
          <w:sz w:val="24"/>
        </w:rPr>
        <w:t>Reliance, Inc. (RS) — Q2 2026 Earnings Call (July 23, 2026)</w:t>
      </w:r>
    </w:p>
    <w:p>
      <w:r>
        <w:rPr>
          <w:rFonts w:ascii="Calibri" w:hAnsi="Calibri"/>
          <w:b/>
          <w:color w:val="525866"/>
          <w:sz w:val="22"/>
        </w:rPr>
        <w:t xml:space="preserve">Relevance to NUE: </w:t>
      </w:r>
      <w:r>
        <w:rPr>
          <w:rFonts w:ascii="Calibri" w:hAnsi="Calibri"/>
          <w:color w:val="525866"/>
          <w:sz w:val="22"/>
        </w:rPr>
        <w:t>RS is the largest U.S. metals service center and a major customer of NUE’s steel mills. RS’s demand and pricing commentary is a leading indicator for NUE’s end-market conditions.</w:t>
      </w:r>
    </w:p>
    <w:p>
      <w:pPr>
        <w:pStyle w:val="ListBullet"/>
        <w:ind w:left="360" w:hanging="360"/>
      </w:pPr>
      <w:r>
        <w:rPr>
          <w:rFonts w:ascii="Calibri" w:hAnsi="Calibri"/>
          <w:b/>
          <w:color w:val="525866"/>
          <w:sz w:val="22"/>
        </w:rPr>
        <w:t>Record quarterly tons sold, up 7% QoQ and +10.8% YoY — significantly exceeded guidance of +1–3% sequential</w:t>
      </w:r>
      <w:r>
        <w:rPr>
          <w:rFonts w:ascii="Calibri" w:hAnsi="Calibri"/>
          <w:color w:val="525866"/>
          <w:sz w:val="22"/>
        </w:rPr>
        <w:t xml:space="preserve"> — RS described Q2 as “excellent,” achieving its second-highest quarterly revenue and record tons sold. The sequential increase included a 5.1pp contribution from the U.S. border wall contract (~85,000 tons in Q2, ramping to ~120,000 tons in Q3). </w:t>
      </w:r>
      <w:r>
        <w:rPr>
          <w:rFonts w:ascii="Calibri" w:hAnsi="Calibri"/>
          <w:color w:val="525866"/>
          <w:sz w:val="22"/>
        </w:rPr>
        <w:t>NUE read-through: Service center demand was far stronger than expected in Q2; NUE’s Q1 call noted “service center shipments are starting to move up” — RS confirms this trend accelerated materially in Q2.</w:t>
      </w:r>
    </w:p>
    <w:p>
      <w:pPr>
        <w:pStyle w:val="ListBullet"/>
        <w:ind w:left="360" w:hanging="360"/>
      </w:pPr>
      <w:r>
        <w:rPr>
          <w:rFonts w:ascii="Calibri" w:hAnsi="Calibri"/>
          <w:b/>
          <w:color w:val="525866"/>
          <w:sz w:val="22"/>
        </w:rPr>
        <w:t>Average selling price up 7.8% QoQ, exceeding guidance of +1.5–3.5%</w:t>
      </w:r>
      <w:r>
        <w:rPr>
          <w:rFonts w:ascii="Calibri" w:hAnsi="Calibri"/>
          <w:color w:val="525866"/>
          <w:sz w:val="22"/>
        </w:rPr>
        <w:t xml:space="preserve"> — Carbon steel and aluminum pricing continued upward amid constrained supply and extended lead times. Beam and plate prices saw “strong increases” due to tight market and significant customer demand. Mill lead times 4–8 weeks late for flat roll. </w:t>
      </w:r>
      <w:r>
        <w:rPr>
          <w:rFonts w:ascii="Calibri" w:hAnsi="Calibri"/>
          <w:color w:val="525866"/>
          <w:sz w:val="22"/>
        </w:rPr>
        <w:t>NUE read-through: Directly confirms NUE’s Q2 guidance for higher ASP; beam and plate strength is particularly relevant as NUE’s structural and plate businesses are key contributors.</w:t>
      </w:r>
    </w:p>
    <w:p>
      <w:pPr>
        <w:pStyle w:val="ListBullet"/>
        <w:ind w:left="360" w:hanging="360"/>
      </w:pPr>
      <w:r>
        <w:rPr>
          <w:rFonts w:ascii="Calibri" w:hAnsi="Calibri"/>
          <w:b/>
          <w:color w:val="525866"/>
          <w:sz w:val="22"/>
        </w:rPr>
        <w:t>Nonresidential construction ~1/3 of Q2 sales; data center and infrastructure demand “sustained and strong”</w:t>
      </w:r>
      <w:r>
        <w:rPr>
          <w:rFonts w:ascii="Calibri" w:hAnsi="Calibri"/>
          <w:color w:val="525866"/>
          <w:sz w:val="22"/>
        </w:rPr>
        <w:t xml:space="preserve"> — RS highlighted data center and related energy infrastructure as key demand drivers, alongside heavy civil and public infrastructure. General manufacturing (including data center equipment, shipbuilding, military) also showed strong YoY growth. </w:t>
      </w:r>
      <w:r>
        <w:rPr>
          <w:rFonts w:ascii="Calibri" w:hAnsi="Calibri"/>
          <w:color w:val="525866"/>
          <w:sz w:val="22"/>
        </w:rPr>
        <w:t>NUE read-through: Confirms NUE’s end-market thesis; NUE supplies ~95% of steel for data center supply chains and has significant structural/infrastructure exposure.</w:t>
      </w:r>
    </w:p>
    <w:p>
      <w:pPr>
        <w:pStyle w:val="ListBullet"/>
        <w:ind w:left="360" w:hanging="360"/>
      </w:pPr>
      <w:r>
        <w:rPr>
          <w:rFonts w:ascii="Calibri" w:hAnsi="Calibri"/>
          <w:b/>
          <w:color w:val="525866"/>
          <w:sz w:val="22"/>
        </w:rPr>
        <w:t>Inventory turns improved to 5.2x (vs. 4.8x in 2025); industry inventory levels “a little lower”</w:t>
      </w:r>
      <w:r>
        <w:rPr>
          <w:rFonts w:ascii="Calibri" w:hAnsi="Calibri"/>
          <w:color w:val="525866"/>
          <w:sz w:val="22"/>
        </w:rPr>
        <w:t xml:space="preserve"> — RS noted lean industry inventory levels, with competitors facing challenges from higher interest rates and inventory carrying costs. RS is capturing market share as a result. </w:t>
      </w:r>
      <w:r>
        <w:rPr>
          <w:rFonts w:ascii="Calibri" w:hAnsi="Calibri"/>
          <w:color w:val="525866"/>
          <w:sz w:val="22"/>
        </w:rPr>
        <w:t>NUE read-through: Lean service center inventories support continued restocking demand; no inventory overhang risk heading into Q3.</w:t>
      </w:r>
    </w:p>
    <w:p>
      <w:pPr>
        <w:pStyle w:val="ListBullet"/>
        <w:ind w:left="360" w:hanging="360"/>
      </w:pPr>
      <w:r>
        <w:rPr>
          <w:rFonts w:ascii="Calibri" w:hAnsi="Calibri"/>
          <w:b/>
          <w:color w:val="525866"/>
          <w:sz w:val="22"/>
        </w:rPr>
        <w:t>Q3 2026 guidance: demand and pricing to remain at healthy levels; non-GAAP EPS guided $6.40–$6.60 (+76–81% YoY)</w:t>
      </w:r>
      <w:r>
        <w:rPr>
          <w:rFonts w:ascii="Calibri" w:hAnsi="Calibri"/>
          <w:color w:val="525866"/>
          <w:sz w:val="22"/>
        </w:rPr>
        <w:t xml:space="preserve"> — RS guided Q3 shipments (ex-border wall) down 2–4% QoQ (normal seasonality). Stainless specialty inventory glut working off, suggesting price increases in H2. </w:t>
      </w:r>
      <w:r>
        <w:rPr>
          <w:rFonts w:ascii="Calibri" w:hAnsi="Calibri"/>
          <w:color w:val="525866"/>
          <w:sz w:val="22"/>
        </w:rPr>
        <w:t>NUE read-through: Constructive Q3 demand outlook from the largest service center; seasonal volume dip is expected and already in NUE’s guidance framework.</w:t>
      </w:r>
    </w:p>
    <w:p>
      <w:pPr>
        <w:pStyle w:val="Heading3"/>
      </w:pPr>
      <w:r>
        <w:rPr>
          <w:rFonts w:ascii="Calibri" w:hAnsi="Calibri"/>
          <w:b/>
          <w:color w:val="3B4259"/>
          <w:sz w:val="24"/>
        </w:rPr>
        <w:t>Cleveland-Cliffs (CLF) — Q2 2026 Earnings Call (July 23, 2026)</w:t>
      </w:r>
    </w:p>
    <w:p>
      <w:r>
        <w:rPr>
          <w:rFonts w:ascii="Calibri" w:hAnsi="Calibri"/>
          <w:b/>
          <w:color w:val="525866"/>
          <w:sz w:val="22"/>
        </w:rPr>
        <w:t xml:space="preserve">Relevance to NUE: </w:t>
      </w:r>
      <w:r>
        <w:rPr>
          <w:rFonts w:ascii="Calibri" w:hAnsi="Calibri"/>
          <w:color w:val="525866"/>
          <w:sz w:val="22"/>
        </w:rPr>
        <w:t>CLF is the largest integrated (blast furnace) U.S. steel producer and NUE’s primary competitor in flat-rolled products. CLF’s pricing and demand commentary is relevant, though CLF’s automotive-heavy mix and blast furnace cost structure differ significantly from NUE’s EAF model.</w:t>
      </w:r>
    </w:p>
    <w:p>
      <w:pPr>
        <w:pStyle w:val="ListBullet"/>
        <w:ind w:left="360" w:hanging="360"/>
      </w:pPr>
      <w:r>
        <w:rPr>
          <w:rFonts w:ascii="Calibri" w:hAnsi="Calibri"/>
          <w:b/>
          <w:color w:val="525866"/>
          <w:sz w:val="22"/>
        </w:rPr>
        <w:t>Q2 adjusted EBITDA of $286M — best quarter in two years; Q3 guided to $575M (more than double Q2)</w:t>
      </w:r>
      <w:r>
        <w:rPr>
          <w:rFonts w:ascii="Calibri" w:hAnsi="Calibri"/>
          <w:color w:val="525866"/>
          <w:sz w:val="22"/>
        </w:rPr>
        <w:t xml:space="preserve"> — CLF described current conditions as “the strongest earnings environment we have seen in years.” Q3 guidance implies a massive sequential improvement driven by higher prices, lower costs, and higher volumes converging simultaneously. </w:t>
      </w:r>
      <w:r>
        <w:rPr>
          <w:rFonts w:ascii="Calibri" w:hAnsi="Calibri"/>
          <w:color w:val="525866"/>
          <w:sz w:val="22"/>
        </w:rPr>
        <w:t>NUE read-through: CLF’s dramatic Q3 improvement is driven by pricing lag catch-up (CLF has more fixed-price automotive contracts); NUE’s EAF model has less lag, so NUE’s Q2 already reflects more of the pricing improvement that CLF will see in Q3.</w:t>
      </w:r>
    </w:p>
    <w:p>
      <w:pPr>
        <w:pStyle w:val="ListBullet"/>
        <w:ind w:left="360" w:hanging="360"/>
      </w:pPr>
      <w:r>
        <w:rPr>
          <w:rFonts w:ascii="Calibri" w:hAnsi="Calibri"/>
          <w:b/>
          <w:color w:val="525866"/>
          <w:sz w:val="22"/>
        </w:rPr>
        <w:t>HRC spot pricing expected to increase another $55/ton in Q3; CRC prices outpacing HRC</w:t>
      </w:r>
      <w:r>
        <w:rPr>
          <w:rFonts w:ascii="Calibri" w:hAnsi="Calibri"/>
          <w:color w:val="525866"/>
          <w:sz w:val="22"/>
        </w:rPr>
        <w:t xml:space="preserve"> — CLF noted the average price increased $76/ton in Q2 as pricing lags materialized. Current HRC prices at ~$1,150/ton vs. ~$800/ton during last year’s contract negotiations. </w:t>
      </w:r>
      <w:r>
        <w:rPr>
          <w:rFonts w:ascii="Calibri" w:hAnsi="Calibri"/>
          <w:color w:val="525866"/>
          <w:sz w:val="22"/>
        </w:rPr>
        <w:t>NUE read-through: Rising HRC/CRC prices are a direct tailwind for NUE’s sheet ASP in Q2 and Q3; NUE’s guidance for “higher average selling prices” in Q2 is consistent with CLF’s pricing data.</w:t>
      </w:r>
    </w:p>
    <w:p>
      <w:pPr>
        <w:pStyle w:val="ListBullet"/>
        <w:ind w:left="360" w:hanging="360"/>
      </w:pPr>
      <w:r>
        <w:rPr>
          <w:rFonts w:ascii="Calibri" w:hAnsi="Calibri"/>
          <w:b/>
          <w:color w:val="525866"/>
          <w:sz w:val="22"/>
        </w:rPr>
        <w:t>Section 232 described as “the single most effective industrial policy implemented in our country in a generation”</w:t>
      </w:r>
      <w:r>
        <w:rPr>
          <w:rFonts w:ascii="Calibri" w:hAnsi="Calibri"/>
          <w:color w:val="525866"/>
          <w:sz w:val="22"/>
        </w:rPr>
        <w:t xml:space="preserve"> — CLF credited 232 enforcement with accelerating manufacturing investment, improving domestic utilization, and redirecting capital to U.S.-based production. USMCA discussions expected to result in positive outcomes (stronger melt-and-pour requirements, tighter rules of origin). </w:t>
      </w:r>
      <w:r>
        <w:rPr>
          <w:rFonts w:ascii="Calibri" w:hAnsi="Calibri"/>
          <w:color w:val="525866"/>
          <w:sz w:val="22"/>
        </w:rPr>
        <w:t>NUE read-through: Consistent with NUE’s trade policy commentary; both companies benefit from sustained 232 enforcement.</w:t>
      </w:r>
    </w:p>
    <w:p>
      <w:pPr>
        <w:pStyle w:val="ListBullet"/>
        <w:ind w:left="360" w:hanging="360"/>
      </w:pPr>
      <w:r>
        <w:rPr>
          <w:rFonts w:ascii="Calibri" w:hAnsi="Calibri"/>
          <w:b/>
          <w:color w:val="525866"/>
          <w:sz w:val="22"/>
        </w:rPr>
        <w:t>2027 contract reset opportunity: ~$500M EBITDA improvement YoY from repricing non-automotive fixed contracts</w:t>
      </w:r>
      <w:r>
        <w:rPr>
          <w:rFonts w:ascii="Calibri" w:hAnsi="Calibri"/>
          <w:color w:val="525866"/>
          <w:sz w:val="22"/>
        </w:rPr>
        <w:t xml:space="preserve"> — CLF’s non-automotive fixed-price contracts will be reset at current HRC levels (~$1,150/ton) vs. last year’s ~$800/ton, representing a massive pricing tailwind for 2027. </w:t>
      </w:r>
      <w:r>
        <w:rPr>
          <w:rFonts w:ascii="Calibri" w:hAnsi="Calibri"/>
          <w:color w:val="525866"/>
          <w:sz w:val="22"/>
        </w:rPr>
        <w:t>NUE read-through: NUE’s EAF model is more spot-price linked, so it has already captured more of this pricing improvement; however, CLF’s 2027 repricing confirms the structural pricing environment is sustainably higher.</w:t>
      </w:r>
    </w:p>
    <w:p>
      <w:pPr>
        <w:pStyle w:val="ListBullet"/>
        <w:ind w:left="360" w:hanging="360"/>
      </w:pPr>
      <w:r>
        <w:rPr>
          <w:rFonts w:ascii="Calibri" w:hAnsi="Calibri"/>
          <w:b/>
          <w:color w:val="525866"/>
          <w:sz w:val="22"/>
        </w:rPr>
        <w:t>Automotive demand at highest shipments in two years; reshoring of automotive production to U.S. accelerating</w:t>
      </w:r>
      <w:r>
        <w:rPr>
          <w:rFonts w:ascii="Calibri" w:hAnsi="Calibri"/>
          <w:color w:val="525866"/>
          <w:sz w:val="22"/>
        </w:rPr>
        <w:t xml:space="preserve"> — CLF is the “supplier of choice for the automotive sector in the United States.” Automotive coating volumes back to strong 2023 levels. </w:t>
      </w:r>
      <w:r>
        <w:rPr>
          <w:rFonts w:ascii="Calibri" w:hAnsi="Calibri"/>
          <w:color w:val="525866"/>
          <w:sz w:val="22"/>
        </w:rPr>
        <w:t>NUE read-through: Less direct (NUE has lower automotive exposure than CLF), but confirms broad manufacturing demand strength.</w:t>
      </w:r>
    </w:p>
    <w:p>
      <w:pPr>
        <w:pStyle w:val="Heading3"/>
      </w:pPr>
      <w:r>
        <w:rPr>
          <w:rFonts w:ascii="Calibri" w:hAnsi="Calibri"/>
          <w:b/>
          <w:color w:val="3B4259"/>
          <w:sz w:val="24"/>
        </w:rPr>
        <w:t>Commercial Metals Company (CMC) — Fiscal Q3 2026 Earnings Call (June 25, 2026)</w:t>
      </w:r>
    </w:p>
    <w:p>
      <w:r>
        <w:rPr>
          <w:rFonts w:ascii="Calibri" w:hAnsi="Calibri"/>
          <w:b/>
          <w:color w:val="525866"/>
          <w:sz w:val="22"/>
        </w:rPr>
        <w:t xml:space="preserve">Relevance to NUE: </w:t>
      </w:r>
      <w:r>
        <w:rPr>
          <w:rFonts w:ascii="Calibri" w:hAnsi="Calibri"/>
          <w:color w:val="525866"/>
          <w:sz w:val="22"/>
        </w:rPr>
        <w:t>CMC is a direct competitor in long products (rebar, merchant bar) and has significant overlap with NUE’s bar and structural businesses. CMC’s fiscal Q3 ended May 31, 2026, making it the most timely read-through for NUE’s Q2 (April–July 4, 2026) conditions.</w:t>
      </w:r>
    </w:p>
    <w:p>
      <w:pPr>
        <w:pStyle w:val="ListBullet"/>
        <w:ind w:left="360" w:hanging="360"/>
      </w:pPr>
      <w:r>
        <w:rPr>
          <w:rFonts w:ascii="Calibri" w:hAnsi="Calibri"/>
          <w:b/>
          <w:color w:val="525866"/>
          <w:sz w:val="22"/>
        </w:rPr>
        <w:t>Core EBITDA up 78.6% YoY in fiscal Q3; metal margins expanded $111/ton in North American Steel Group</w:t>
      </w:r>
      <w:r>
        <w:rPr>
          <w:rFonts w:ascii="Calibri" w:hAnsi="Calibri"/>
          <w:color w:val="525866"/>
          <w:sz w:val="22"/>
        </w:rPr>
        <w:t xml:space="preserve"> — CMC described “improving pricing conditions” with previously announced price increases “taking hold in the market.” Scrap costs were squeezed by unexpected strength (war-related fuel costs) but are expected to stabilize in Q4. </w:t>
      </w:r>
      <w:r>
        <w:rPr>
          <w:rFonts w:ascii="Calibri" w:hAnsi="Calibri"/>
          <w:color w:val="525866"/>
          <w:sz w:val="22"/>
        </w:rPr>
        <w:t>NUE read-through: Metal margin expansion in long products is directly relevant to NUE’s bar and structural segments; CMC’s pricing momentum supports NUE’s Q2 ASP guidance.</w:t>
      </w:r>
    </w:p>
    <w:p>
      <w:pPr>
        <w:pStyle w:val="ListBullet"/>
        <w:ind w:left="360" w:hanging="360"/>
      </w:pPr>
      <w:r>
        <w:rPr>
          <w:rFonts w:ascii="Calibri" w:hAnsi="Calibri"/>
          <w:b/>
          <w:color w:val="525866"/>
          <w:sz w:val="22"/>
        </w:rPr>
        <w:t>Infrastructure demand “very robust”; &gt;50% of IIJA funding yet to be spent on highway/infrastructure</w:t>
      </w:r>
      <w:r>
        <w:rPr>
          <w:rFonts w:ascii="Calibri" w:hAnsi="Calibri"/>
          <w:color w:val="525866"/>
          <w:sz w:val="22"/>
        </w:rPr>
        <w:t xml:space="preserve"> — CMC highlighted a growing pipeline of large-scale mega projects in data centers, semiconductor capacity, and energy networks, particularly in the Sunbelt and East Coast. Institutional spending to replace aging facilities also “very strong.” </w:t>
      </w:r>
      <w:r>
        <w:rPr>
          <w:rFonts w:ascii="Calibri" w:hAnsi="Calibri"/>
          <w:color w:val="525866"/>
          <w:sz w:val="22"/>
        </w:rPr>
        <w:t>NUE read-through: Confirms NUE’s infrastructure demand thesis; NUE’s structural and rebar businesses are primary beneficiaries of IIJA spending.</w:t>
      </w:r>
    </w:p>
    <w:p>
      <w:pPr>
        <w:pStyle w:val="ListBullet"/>
        <w:ind w:left="360" w:hanging="360"/>
      </w:pPr>
      <w:r>
        <w:rPr>
          <w:rFonts w:ascii="Calibri" w:hAnsi="Calibri"/>
          <w:b/>
          <w:color w:val="525866"/>
          <w:sz w:val="22"/>
        </w:rPr>
        <w:t>U.S. rebar imports elevated YTD but expected to decline in H2; South Korea is the primary source</w:t>
      </w:r>
      <w:r>
        <w:rPr>
          <w:rFonts w:ascii="Calibri" w:hAnsi="Calibri"/>
          <w:color w:val="525866"/>
          <w:sz w:val="22"/>
        </w:rPr>
        <w:t xml:space="preserve"> — CMC noted imports “somewhat elevated” YTD but believes South Korean material is not economically competitive at current prices. Anti-dumping/CVD duties against four countries (covering ~500K tons of rebar) are in place for minimum 5 years. </w:t>
      </w:r>
      <w:r>
        <w:rPr>
          <w:rFonts w:ascii="Calibri" w:hAnsi="Calibri"/>
          <w:color w:val="525866"/>
          <w:sz w:val="22"/>
        </w:rPr>
        <w:t>NUE read-through: Rebar import risk is manageable per CMC; durable trade protection supports NUE’s bar segment pricing.</w:t>
      </w:r>
    </w:p>
    <w:p>
      <w:pPr>
        <w:pStyle w:val="ListBullet"/>
        <w:ind w:left="360" w:hanging="360"/>
      </w:pPr>
      <w:r>
        <w:rPr>
          <w:rFonts w:ascii="Calibri" w:hAnsi="Calibri"/>
          <w:b/>
          <w:color w:val="525866"/>
          <w:sz w:val="22"/>
        </w:rPr>
        <w:t>Arizona 2 micro mill at &gt;75% capacity utilization; Steel West Virginia hot commissioning expected “later this summer”</w:t>
      </w:r>
      <w:r>
        <w:rPr>
          <w:rFonts w:ascii="Calibri" w:hAnsi="Calibri"/>
          <w:color w:val="525866"/>
          <w:sz w:val="22"/>
        </w:rPr>
        <w:t xml:space="preserve"> — CMC’s Steel West Virginia is a standard rebar micro mill expected to ramp within 12 months of commissioning. </w:t>
      </w:r>
      <w:r>
        <w:rPr>
          <w:rFonts w:ascii="Calibri" w:hAnsi="Calibri"/>
          <w:color w:val="525866"/>
          <w:sz w:val="22"/>
        </w:rPr>
        <w:t>NUE read-through: CMC’s WV mill is a new competitor in rebar, but NUE’s WV sheet mill is a different product (flat roll) with no direct overlap; the broader capacity addition is a watch item for long-term supply/demand balance.</w:t>
      </w:r>
    </w:p>
    <w:p>
      <w:pPr>
        <w:pStyle w:val="ListBullet"/>
        <w:ind w:left="360" w:hanging="360"/>
      </w:pPr>
      <w:r>
        <w:rPr>
          <w:rFonts w:ascii="Calibri" w:hAnsi="Calibri"/>
          <w:b/>
          <w:color w:val="525866"/>
          <w:sz w:val="22"/>
        </w:rPr>
        <w:t>Fiscal Q4 2026 guidance: meaningful sequential EBITDA increase of $40–50M; North American steel group on track for ~$40M QoQ improvement</w:t>
      </w:r>
      <w:r>
        <w:rPr>
          <w:rFonts w:ascii="Calibri" w:hAnsi="Calibri"/>
          <w:color w:val="525866"/>
          <w:sz w:val="22"/>
        </w:rPr>
        <w:t xml:space="preserve"> — CMC guided for higher volumes, margin expansion, and absence of Q3 mill outages as tailwinds. Scrap costs expected to remain relatively stable. </w:t>
      </w:r>
      <w:r>
        <w:rPr>
          <w:rFonts w:ascii="Calibri" w:hAnsi="Calibri"/>
          <w:color w:val="525866"/>
          <w:sz w:val="22"/>
        </w:rPr>
        <w:t>NUE read-through: Constructive near-term outlook from the closest long-products peer; supports NUE’s Q2 and Q3 volume/margin trajectory.</w:t>
      </w:r>
    </w:p>
    <w:p>
      <w:r>
        <w:rPr>
          <w:rFonts w:ascii="Calibri" w:hAnsi="Calibri"/>
          <w:b/>
          <w:color w:val="525866"/>
          <w:sz w:val="22"/>
        </w:rPr>
        <w:t>Peer Commentary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Report Date</w:t>
            </w:r>
          </w:p>
        </w:tc>
        <w:tc>
          <w:tcPr>
            <w:tcW w:type="dxa" w:w="2160"/>
            <w:shd w:val="clear" w:color="auto" w:fill="3B4259"/>
          </w:tcPr>
          <w:p>
            <w:r>
              <w:rPr>
                <w:rFonts w:ascii="Calibri" w:hAnsi="Calibri"/>
                <w:b/>
                <w:color w:val="FFFFFF"/>
                <w:sz w:val="22"/>
              </w:rPr>
              <w:t>Key Signal for NUE</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STLD (Steel Dynamics)</w:t>
            </w:r>
          </w:p>
        </w:tc>
        <w:tc>
          <w:tcPr>
            <w:tcW w:type="dxa" w:w="2160"/>
          </w:tcPr>
          <w:p>
            <w:r>
              <w:rPr>
                <w:rFonts w:ascii="Calibri" w:hAnsi="Calibri"/>
                <w:sz w:val="22"/>
              </w:rPr>
              <w:t>Jul 21, 2026</w:t>
            </w:r>
          </w:p>
        </w:tc>
        <w:tc>
          <w:tcPr>
            <w:tcW w:type="dxa" w:w="2160"/>
          </w:tcPr>
          <w:p>
            <w:r>
              <w:rPr>
                <w:rFonts w:ascii="Calibri" w:hAnsi="Calibri"/>
                <w:sz w:val="22"/>
              </w:rPr>
              <w:t>Record shipments; ASP +$105/ton QoQ; fabrication backlog +45% YoY; BUT import re-acceleration from 3 Asian countries flagged as “disruptive”</w:t>
            </w:r>
          </w:p>
        </w:tc>
        <w:tc>
          <w:tcPr>
            <w:tcW w:type="dxa" w:w="2160"/>
          </w:tcPr>
          <w:p>
            <w:r>
              <w:rPr>
                <w:rFonts w:ascii="Calibri" w:hAnsi="Calibri"/>
                <w:b/>
                <w:color w:val="002FA7"/>
                <w:sz w:val="22"/>
              </w:rPr>
              <w:t>Positive for Q2; Cautionary for Q3</w:t>
            </w:r>
          </w:p>
        </w:tc>
      </w:tr>
      <w:tr>
        <w:tc>
          <w:tcPr>
            <w:tcW w:type="dxa" w:w="2160"/>
          </w:tcPr>
          <w:p>
            <w:r>
              <w:rPr>
                <w:rFonts w:ascii="Calibri" w:hAnsi="Calibri"/>
                <w:sz w:val="22"/>
              </w:rPr>
              <w:t>RS (Reliance)</w:t>
            </w:r>
          </w:p>
        </w:tc>
        <w:tc>
          <w:tcPr>
            <w:tcW w:type="dxa" w:w="2160"/>
          </w:tcPr>
          <w:p>
            <w:r>
              <w:rPr>
                <w:rFonts w:ascii="Calibri" w:hAnsi="Calibri"/>
                <w:sz w:val="22"/>
              </w:rPr>
              <w:t>Jul 23, 2026</w:t>
            </w:r>
          </w:p>
        </w:tc>
        <w:tc>
          <w:tcPr>
            <w:tcW w:type="dxa" w:w="2160"/>
          </w:tcPr>
          <w:p>
            <w:r>
              <w:rPr>
                <w:rFonts w:ascii="Calibri" w:hAnsi="Calibri"/>
                <w:sz w:val="22"/>
              </w:rPr>
              <w:t>Record tons sold (+10.8% YoY); ASP +7.8% QoQ; lean inventories; data center/infrastructure demand sustained; Q3 guided healthy</w:t>
            </w:r>
          </w:p>
        </w:tc>
        <w:tc>
          <w:tcPr>
            <w:tcW w:type="dxa" w:w="2160"/>
          </w:tcPr>
          <w:p>
            <w:r>
              <w:rPr>
                <w:rFonts w:ascii="Calibri" w:hAnsi="Calibri"/>
                <w:b/>
                <w:color w:val="30A46C"/>
                <w:sz w:val="22"/>
              </w:rPr>
              <w:t>Positive for Q2 &amp; Q3</w:t>
            </w:r>
          </w:p>
        </w:tc>
      </w:tr>
      <w:tr>
        <w:tc>
          <w:tcPr>
            <w:tcW w:type="dxa" w:w="2160"/>
          </w:tcPr>
          <w:p>
            <w:r>
              <w:rPr>
                <w:rFonts w:ascii="Calibri" w:hAnsi="Calibri"/>
                <w:sz w:val="22"/>
              </w:rPr>
              <w:t>CLF (Cleveland-Cliffs)</w:t>
            </w:r>
          </w:p>
        </w:tc>
        <w:tc>
          <w:tcPr>
            <w:tcW w:type="dxa" w:w="2160"/>
          </w:tcPr>
          <w:p>
            <w:r>
              <w:rPr>
                <w:rFonts w:ascii="Calibri" w:hAnsi="Calibri"/>
                <w:sz w:val="22"/>
              </w:rPr>
              <w:t>Jul 23, 2026</w:t>
            </w:r>
          </w:p>
        </w:tc>
        <w:tc>
          <w:tcPr>
            <w:tcW w:type="dxa" w:w="2160"/>
          </w:tcPr>
          <w:p>
            <w:r>
              <w:rPr>
                <w:rFonts w:ascii="Calibri" w:hAnsi="Calibri"/>
                <w:sz w:val="22"/>
              </w:rPr>
              <w:t>HRC +$55/ton expected in Q3; 232 enforcement strong; 2027 contract repricing ~$500M EBITDA tailwind; automotive demand at 2-year high</w:t>
            </w:r>
          </w:p>
        </w:tc>
        <w:tc>
          <w:tcPr>
            <w:tcW w:type="dxa" w:w="2160"/>
          </w:tcPr>
          <w:p>
            <w:r>
              <w:rPr>
                <w:rFonts w:ascii="Calibri" w:hAnsi="Calibri"/>
                <w:b/>
                <w:color w:val="30A46C"/>
                <w:sz w:val="22"/>
              </w:rPr>
              <w:t>Positive for pricing environment</w:t>
            </w:r>
          </w:p>
        </w:tc>
      </w:tr>
      <w:tr>
        <w:tc>
          <w:tcPr>
            <w:tcW w:type="dxa" w:w="2160"/>
          </w:tcPr>
          <w:p>
            <w:r>
              <w:rPr>
                <w:rFonts w:ascii="Calibri" w:hAnsi="Calibri"/>
                <w:sz w:val="22"/>
              </w:rPr>
              <w:t>CMC (Commercial Metals)</w:t>
            </w:r>
          </w:p>
        </w:tc>
        <w:tc>
          <w:tcPr>
            <w:tcW w:type="dxa" w:w="2160"/>
          </w:tcPr>
          <w:p>
            <w:r>
              <w:rPr>
                <w:rFonts w:ascii="Calibri" w:hAnsi="Calibri"/>
                <w:sz w:val="22"/>
              </w:rPr>
              <w:t>Jun 25, 2026</w:t>
            </w:r>
          </w:p>
        </w:tc>
        <w:tc>
          <w:tcPr>
            <w:tcW w:type="dxa" w:w="2160"/>
          </w:tcPr>
          <w:p>
            <w:r>
              <w:rPr>
                <w:rFonts w:ascii="Calibri" w:hAnsi="Calibri"/>
                <w:sz w:val="22"/>
              </w:rPr>
              <w:t>Metal margins +$111/ton YoY in long products; infrastructure demand robust; rebar imports manageable; Q4 EBITDA guided +$40–50M QoQ</w:t>
            </w:r>
          </w:p>
        </w:tc>
        <w:tc>
          <w:tcPr>
            <w:tcW w:type="dxa" w:w="2160"/>
          </w:tcPr>
          <w:p>
            <w:r>
              <w:rPr>
                <w:rFonts w:ascii="Calibri" w:hAnsi="Calibri"/>
                <w:b/>
                <w:color w:val="30A46C"/>
                <w:sz w:val="22"/>
              </w:rPr>
              <w:t>Positive for long products</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stand out as signals — the June 1, 2026 transactions are a broad-based annual equity compensation grant (code “A” = award) to virtually all senior executives and directors simultaneously, which is routine and non-informative. The only open-market sales in the period were small discretionary sells by a handful of EVPs in early May (post-Q1 earnings, likely tax-related), and one EVP (Spicer) sold 2,500 shares on May 18. CEO Topalian exercised options on May 15 (code “M”) but did not sell the resulting shares, which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Topalian Leon J</w:t>
            </w:r>
          </w:p>
        </w:tc>
        <w:tc>
          <w:tcPr>
            <w:tcW w:type="dxa" w:w="1440"/>
          </w:tcPr>
          <w:p>
            <w:r>
              <w:rPr>
                <w:rFonts w:ascii="Calibri" w:hAnsi="Calibri"/>
                <w:sz w:val="22"/>
              </w:rPr>
              <w:t>Chair &amp; CEO</w:t>
            </w:r>
          </w:p>
        </w:tc>
        <w:tc>
          <w:tcPr>
            <w:tcW w:type="dxa" w:w="1440"/>
          </w:tcPr>
          <w:p>
            <w:r>
              <w:rPr>
                <w:rFonts w:ascii="Calibri" w:hAnsi="Calibri"/>
                <w:sz w:val="22"/>
              </w:rPr>
              <w:t>Option Exercise (M)</w:t>
            </w:r>
          </w:p>
        </w:tc>
        <w:tc>
          <w:tcPr>
            <w:tcW w:type="dxa" w:w="1440"/>
          </w:tcPr>
          <w:p>
            <w:r>
              <w:rPr>
                <w:rFonts w:ascii="Calibri" w:hAnsi="Calibri"/>
                <w:sz w:val="22"/>
              </w:rPr>
              <w:t>52,000</w:t>
            </w:r>
          </w:p>
        </w:tc>
        <w:tc>
          <w:tcPr>
            <w:tcW w:type="dxa" w:w="1440"/>
          </w:tcPr>
          <w:p>
            <w:r>
              <w:rPr>
                <w:rFonts w:ascii="Calibri" w:hAnsi="Calibri"/>
                <w:sz w:val="22"/>
              </w:rPr>
              <w:t>May 15, 2026</w:t>
            </w:r>
          </w:p>
        </w:tc>
        <w:tc>
          <w:tcPr>
            <w:tcW w:type="dxa" w:w="1440"/>
          </w:tcPr>
          <w:p>
            <w:r>
              <w:rPr>
                <w:rFonts w:ascii="Calibri" w:hAnsi="Calibri"/>
                <w:sz w:val="22"/>
              </w:rPr>
              <w:t>Option exercise only; no corresponding open-market sale filed — mild positive signal</w:t>
            </w:r>
          </w:p>
        </w:tc>
      </w:tr>
      <w:tr>
        <w:tc>
          <w:tcPr>
            <w:tcW w:type="dxa" w:w="1440"/>
          </w:tcPr>
          <w:p>
            <w:r>
              <w:rPr>
                <w:rFonts w:ascii="Calibri" w:hAnsi="Calibri"/>
                <w:sz w:val="22"/>
              </w:rPr>
              <w:t>Topalian Leon J</w:t>
            </w:r>
          </w:p>
        </w:tc>
        <w:tc>
          <w:tcPr>
            <w:tcW w:type="dxa" w:w="1440"/>
          </w:tcPr>
          <w:p>
            <w:r>
              <w:rPr>
                <w:rFonts w:ascii="Calibri" w:hAnsi="Calibri"/>
                <w:sz w:val="22"/>
              </w:rPr>
              <w:t>Chair &amp; CEO</w:t>
            </w:r>
          </w:p>
        </w:tc>
        <w:tc>
          <w:tcPr>
            <w:tcW w:type="dxa" w:w="1440"/>
          </w:tcPr>
          <w:p>
            <w:r>
              <w:rPr>
                <w:rFonts w:ascii="Calibri" w:hAnsi="Calibri"/>
                <w:sz w:val="22"/>
              </w:rPr>
              <w:t>Annual Equity Award (A)</w:t>
            </w:r>
          </w:p>
        </w:tc>
        <w:tc>
          <w:tcPr>
            <w:tcW w:type="dxa" w:w="1440"/>
          </w:tcPr>
          <w:p>
            <w:r>
              <w:rPr>
                <w:rFonts w:ascii="Calibri" w:hAnsi="Calibri"/>
                <w:sz w:val="22"/>
              </w:rPr>
              <w:t>12,028</w:t>
            </w:r>
          </w:p>
        </w:tc>
        <w:tc>
          <w:tcPr>
            <w:tcW w:type="dxa" w:w="1440"/>
          </w:tcPr>
          <w:p>
            <w:r>
              <w:rPr>
                <w:rFonts w:ascii="Calibri" w:hAnsi="Calibri"/>
                <w:sz w:val="22"/>
              </w:rPr>
              <w:t>Jun 1, 2026</w:t>
            </w:r>
          </w:p>
        </w:tc>
        <w:tc>
          <w:tcPr>
            <w:tcW w:type="dxa" w:w="1440"/>
          </w:tcPr>
          <w:p>
            <w:r>
              <w:rPr>
                <w:rFonts w:ascii="Calibri" w:hAnsi="Calibri"/>
                <w:sz w:val="22"/>
              </w:rPr>
              <w:t>Routine annual compensation grant; non-informative</w:t>
            </w:r>
          </w:p>
        </w:tc>
      </w:tr>
      <w:tr>
        <w:tc>
          <w:tcPr>
            <w:tcW w:type="dxa" w:w="1440"/>
          </w:tcPr>
          <w:p>
            <w:r>
              <w:rPr>
                <w:rFonts w:ascii="Calibri" w:hAnsi="Calibri"/>
                <w:sz w:val="22"/>
              </w:rPr>
              <w:t>Laxton Stephen D</w:t>
            </w:r>
          </w:p>
        </w:tc>
        <w:tc>
          <w:tcPr>
            <w:tcW w:type="dxa" w:w="1440"/>
          </w:tcPr>
          <w:p>
            <w:r>
              <w:rPr>
                <w:rFonts w:ascii="Calibri" w:hAnsi="Calibri"/>
                <w:sz w:val="22"/>
              </w:rPr>
              <w:t>President &amp; COO</w:t>
            </w:r>
          </w:p>
        </w:tc>
        <w:tc>
          <w:tcPr>
            <w:tcW w:type="dxa" w:w="1440"/>
          </w:tcPr>
          <w:p>
            <w:r>
              <w:rPr>
                <w:rFonts w:ascii="Calibri" w:hAnsi="Calibri"/>
                <w:sz w:val="22"/>
              </w:rPr>
              <w:t>Annual Equity Award (A)</w:t>
            </w:r>
          </w:p>
        </w:tc>
        <w:tc>
          <w:tcPr>
            <w:tcW w:type="dxa" w:w="1440"/>
          </w:tcPr>
          <w:p>
            <w:r>
              <w:rPr>
                <w:rFonts w:ascii="Calibri" w:hAnsi="Calibri"/>
                <w:sz w:val="22"/>
              </w:rPr>
              <w:t>3,528</w:t>
            </w:r>
          </w:p>
        </w:tc>
        <w:tc>
          <w:tcPr>
            <w:tcW w:type="dxa" w:w="1440"/>
          </w:tcPr>
          <w:p>
            <w:r>
              <w:rPr>
                <w:rFonts w:ascii="Calibri" w:hAnsi="Calibri"/>
                <w:sz w:val="22"/>
              </w:rPr>
              <w:t>Jun 1, 2026</w:t>
            </w:r>
          </w:p>
        </w:tc>
        <w:tc>
          <w:tcPr>
            <w:tcW w:type="dxa" w:w="1440"/>
          </w:tcPr>
          <w:p>
            <w:r>
              <w:rPr>
                <w:rFonts w:ascii="Calibri" w:hAnsi="Calibri"/>
                <w:sz w:val="22"/>
              </w:rPr>
              <w:t>Routine annual compensation grant; non-informative</w:t>
            </w:r>
          </w:p>
        </w:tc>
      </w:tr>
      <w:tr>
        <w:tc>
          <w:tcPr>
            <w:tcW w:type="dxa" w:w="1440"/>
          </w:tcPr>
          <w:p>
            <w:r>
              <w:rPr>
                <w:rFonts w:ascii="Calibri" w:hAnsi="Calibri"/>
                <w:sz w:val="22"/>
              </w:rPr>
              <w:t>Sullivan III John Leo</w:t>
            </w:r>
          </w:p>
        </w:tc>
        <w:tc>
          <w:tcPr>
            <w:tcW w:type="dxa" w:w="1440"/>
          </w:tcPr>
          <w:p>
            <w:r>
              <w:rPr>
                <w:rFonts w:ascii="Calibri" w:hAnsi="Calibri"/>
                <w:sz w:val="22"/>
              </w:rPr>
              <w:t>CFO, Treasurer &amp; EVP</w:t>
            </w:r>
          </w:p>
        </w:tc>
        <w:tc>
          <w:tcPr>
            <w:tcW w:type="dxa" w:w="1440"/>
          </w:tcPr>
          <w:p>
            <w:r>
              <w:rPr>
                <w:rFonts w:ascii="Calibri" w:hAnsi="Calibri"/>
                <w:sz w:val="22"/>
              </w:rPr>
              <w:t>Annual Equity Award (A)</w:t>
            </w:r>
          </w:p>
        </w:tc>
        <w:tc>
          <w:tcPr>
            <w:tcW w:type="dxa" w:w="1440"/>
          </w:tcPr>
          <w:p>
            <w:r>
              <w:rPr>
                <w:rFonts w:ascii="Calibri" w:hAnsi="Calibri"/>
                <w:sz w:val="22"/>
              </w:rPr>
              <w:t>1,662</w:t>
            </w:r>
          </w:p>
        </w:tc>
        <w:tc>
          <w:tcPr>
            <w:tcW w:type="dxa" w:w="1440"/>
          </w:tcPr>
          <w:p>
            <w:r>
              <w:rPr>
                <w:rFonts w:ascii="Calibri" w:hAnsi="Calibri"/>
                <w:sz w:val="22"/>
              </w:rPr>
              <w:t>Jun 1, 2026</w:t>
            </w:r>
          </w:p>
        </w:tc>
        <w:tc>
          <w:tcPr>
            <w:tcW w:type="dxa" w:w="1440"/>
          </w:tcPr>
          <w:p>
            <w:r>
              <w:rPr>
                <w:rFonts w:ascii="Calibri" w:hAnsi="Calibri"/>
                <w:sz w:val="22"/>
              </w:rPr>
              <w:t>Routine annual compensation grant; non-informative</w:t>
            </w:r>
          </w:p>
        </w:tc>
      </w:tr>
      <w:tr>
        <w:tc>
          <w:tcPr>
            <w:tcW w:type="dxa" w:w="1440"/>
          </w:tcPr>
          <w:p>
            <w:r>
              <w:rPr>
                <w:rFonts w:ascii="Calibri" w:hAnsi="Calibri"/>
                <w:sz w:val="22"/>
              </w:rPr>
              <w:t>QUERY KENNETH REX</w:t>
            </w:r>
          </w:p>
        </w:tc>
        <w:tc>
          <w:tcPr>
            <w:tcW w:type="dxa" w:w="1440"/>
          </w:tcPr>
          <w:p>
            <w:r>
              <w:rPr>
                <w:rFonts w:ascii="Calibri" w:hAnsi="Calibri"/>
                <w:sz w:val="22"/>
              </w:rPr>
              <w:t>Executive Vice President</w:t>
            </w:r>
          </w:p>
        </w:tc>
        <w:tc>
          <w:tcPr>
            <w:tcW w:type="dxa" w:w="1440"/>
          </w:tcPr>
          <w:p>
            <w:r>
              <w:rPr>
                <w:rFonts w:ascii="Calibri" w:hAnsi="Calibri"/>
                <w:sz w:val="22"/>
              </w:rPr>
              <w:t>Open Market Sale (S)</w:t>
            </w:r>
          </w:p>
        </w:tc>
        <w:tc>
          <w:tcPr>
            <w:tcW w:type="dxa" w:w="1440"/>
          </w:tcPr>
          <w:p>
            <w:r>
              <w:rPr>
                <w:rFonts w:ascii="Calibri" w:hAnsi="Calibri"/>
                <w:sz w:val="22"/>
              </w:rPr>
              <w:t>13,529</w:t>
            </w:r>
          </w:p>
        </w:tc>
        <w:tc>
          <w:tcPr>
            <w:tcW w:type="dxa" w:w="1440"/>
          </w:tcPr>
          <w:p>
            <w:r>
              <w:rPr>
                <w:rFonts w:ascii="Calibri" w:hAnsi="Calibri"/>
                <w:sz w:val="22"/>
              </w:rPr>
              <w:t>Jun 1, 2026</w:t>
            </w:r>
          </w:p>
        </w:tc>
        <w:tc>
          <w:tcPr>
            <w:tcW w:type="dxa" w:w="1440"/>
          </w:tcPr>
          <w:p>
            <w:r>
              <w:rPr>
                <w:rFonts w:ascii="Calibri" w:hAnsi="Calibri"/>
                <w:sz w:val="22"/>
              </w:rPr>
              <w:t>Same-day as equity award receipt (2,875 shares); net sale of ~10,654 shares; likely tax withholding on award</w:t>
            </w:r>
          </w:p>
        </w:tc>
      </w:tr>
      <w:tr>
        <w:tc>
          <w:tcPr>
            <w:tcW w:type="dxa" w:w="1440"/>
          </w:tcPr>
          <w:p>
            <w:r>
              <w:rPr>
                <w:rFonts w:ascii="Calibri" w:hAnsi="Calibri"/>
                <w:sz w:val="22"/>
              </w:rPr>
              <w:t>Spicer Randy J</w:t>
            </w:r>
          </w:p>
        </w:tc>
        <w:tc>
          <w:tcPr>
            <w:tcW w:type="dxa" w:w="1440"/>
          </w:tcPr>
          <w:p>
            <w:r>
              <w:rPr>
                <w:rFonts w:ascii="Calibri" w:hAnsi="Calibri"/>
                <w:sz w:val="22"/>
              </w:rPr>
              <w:t>Executive Vice President</w:t>
            </w:r>
          </w:p>
        </w:tc>
        <w:tc>
          <w:tcPr>
            <w:tcW w:type="dxa" w:w="1440"/>
          </w:tcPr>
          <w:p>
            <w:r>
              <w:rPr>
                <w:rFonts w:ascii="Calibri" w:hAnsi="Calibri"/>
                <w:sz w:val="22"/>
              </w:rPr>
              <w:t>Open Market Sale (S)</w:t>
            </w:r>
          </w:p>
        </w:tc>
        <w:tc>
          <w:tcPr>
            <w:tcW w:type="dxa" w:w="1440"/>
          </w:tcPr>
          <w:p>
            <w:r>
              <w:rPr>
                <w:rFonts w:ascii="Calibri" w:hAnsi="Calibri"/>
                <w:sz w:val="22"/>
              </w:rPr>
              <w:t>2,500</w:t>
            </w:r>
          </w:p>
        </w:tc>
        <w:tc>
          <w:tcPr>
            <w:tcW w:type="dxa" w:w="1440"/>
          </w:tcPr>
          <w:p>
            <w:r>
              <w:rPr>
                <w:rFonts w:ascii="Calibri" w:hAnsi="Calibri"/>
                <w:sz w:val="22"/>
              </w:rPr>
              <w:t>May 18, 2026</w:t>
            </w:r>
          </w:p>
        </w:tc>
        <w:tc>
          <w:tcPr>
            <w:tcW w:type="dxa" w:w="1440"/>
          </w:tcPr>
          <w:p>
            <w:r>
              <w:rPr>
                <w:rFonts w:ascii="Calibri" w:hAnsi="Calibri"/>
                <w:sz w:val="22"/>
              </w:rPr>
              <w:t>Small discretionary sale; no 10b5-1 plan flagged; not unusual in size</w:t>
            </w:r>
          </w:p>
        </w:tc>
      </w:tr>
      <w:tr>
        <w:tc>
          <w:tcPr>
            <w:tcW w:type="dxa" w:w="1440"/>
          </w:tcPr>
          <w:p>
            <w:r>
              <w:rPr>
                <w:rFonts w:ascii="Calibri" w:hAnsi="Calibri"/>
                <w:sz w:val="22"/>
              </w:rPr>
              <w:t>Behr Allen C</w:t>
            </w:r>
          </w:p>
        </w:tc>
        <w:tc>
          <w:tcPr>
            <w:tcW w:type="dxa" w:w="1440"/>
          </w:tcPr>
          <w:p>
            <w:r>
              <w:rPr>
                <w:rFonts w:ascii="Calibri" w:hAnsi="Calibri"/>
                <w:sz w:val="22"/>
              </w:rPr>
              <w:t>Executive Vice President</w:t>
            </w:r>
          </w:p>
        </w:tc>
        <w:tc>
          <w:tcPr>
            <w:tcW w:type="dxa" w:w="1440"/>
          </w:tcPr>
          <w:p>
            <w:r>
              <w:rPr>
                <w:rFonts w:ascii="Calibri" w:hAnsi="Calibri"/>
                <w:sz w:val="22"/>
              </w:rPr>
              <w:t>Open Market Sale (S)</w:t>
            </w:r>
          </w:p>
        </w:tc>
        <w:tc>
          <w:tcPr>
            <w:tcW w:type="dxa" w:w="1440"/>
          </w:tcPr>
          <w:p>
            <w:r>
              <w:rPr>
                <w:rFonts w:ascii="Calibri" w:hAnsi="Calibri"/>
                <w:sz w:val="22"/>
              </w:rPr>
              <w:t>10,096</w:t>
            </w:r>
          </w:p>
        </w:tc>
        <w:tc>
          <w:tcPr>
            <w:tcW w:type="dxa" w:w="1440"/>
          </w:tcPr>
          <w:p>
            <w:r>
              <w:rPr>
                <w:rFonts w:ascii="Calibri" w:hAnsi="Calibri"/>
                <w:sz w:val="22"/>
              </w:rPr>
              <w:t>May 4, 2026</w:t>
            </w:r>
          </w:p>
        </w:tc>
        <w:tc>
          <w:tcPr>
            <w:tcW w:type="dxa" w:w="1440"/>
          </w:tcPr>
          <w:p>
            <w:r>
              <w:rPr>
                <w:rFonts w:ascii="Calibri" w:hAnsi="Calibri"/>
                <w:sz w:val="22"/>
              </w:rPr>
              <w:t>Post-Q1 earnings sale; likely tax-related or planned; not unusual for post-earnings window</w:t>
            </w:r>
          </w:p>
        </w:tc>
      </w:tr>
      <w:tr>
        <w:tc>
          <w:tcPr>
            <w:tcW w:type="dxa" w:w="1440"/>
          </w:tcPr>
          <w:p>
            <w:r>
              <w:rPr>
                <w:rFonts w:ascii="Calibri" w:hAnsi="Calibri"/>
                <w:sz w:val="22"/>
              </w:rPr>
              <w:t>Hanners Noah C</w:t>
            </w:r>
          </w:p>
        </w:tc>
        <w:tc>
          <w:tcPr>
            <w:tcW w:type="dxa" w:w="1440"/>
          </w:tcPr>
          <w:p>
            <w:r>
              <w:rPr>
                <w:rFonts w:ascii="Calibri" w:hAnsi="Calibri"/>
                <w:sz w:val="22"/>
              </w:rPr>
              <w:t>Executive Vice President (Sheet Products)</w:t>
            </w:r>
          </w:p>
        </w:tc>
        <w:tc>
          <w:tcPr>
            <w:tcW w:type="dxa" w:w="1440"/>
          </w:tcPr>
          <w:p>
            <w:r>
              <w:rPr>
                <w:rFonts w:ascii="Calibri" w:hAnsi="Calibri"/>
                <w:sz w:val="22"/>
              </w:rPr>
              <w:t>Open Market Sale (S)</w:t>
            </w:r>
          </w:p>
        </w:tc>
        <w:tc>
          <w:tcPr>
            <w:tcW w:type="dxa" w:w="1440"/>
          </w:tcPr>
          <w:p>
            <w:r>
              <w:rPr>
                <w:rFonts w:ascii="Calibri" w:hAnsi="Calibri"/>
                <w:sz w:val="22"/>
              </w:rPr>
              <w:t>6,472</w:t>
            </w:r>
          </w:p>
        </w:tc>
        <w:tc>
          <w:tcPr>
            <w:tcW w:type="dxa" w:w="1440"/>
          </w:tcPr>
          <w:p>
            <w:r>
              <w:rPr>
                <w:rFonts w:ascii="Calibri" w:hAnsi="Calibri"/>
                <w:sz w:val="22"/>
              </w:rPr>
              <w:t>May 1, 2026</w:t>
            </w:r>
          </w:p>
        </w:tc>
        <w:tc>
          <w:tcPr>
            <w:tcW w:type="dxa" w:w="1440"/>
          </w:tcPr>
          <w:p>
            <w:r>
              <w:rPr>
                <w:rFonts w:ascii="Calibri" w:hAnsi="Calibri"/>
                <w:sz w:val="22"/>
              </w:rPr>
              <w:t>Post-Q1 earnings sale; within normal trading window; not unusual</w:t>
            </w:r>
          </w:p>
        </w:tc>
      </w:tr>
      <w:tr>
        <w:tc>
          <w:tcPr>
            <w:tcW w:type="dxa" w:w="1440"/>
          </w:tcPr>
          <w:p>
            <w:r>
              <w:rPr>
                <w:rFonts w:ascii="Calibri" w:hAnsi="Calibri"/>
                <w:sz w:val="22"/>
              </w:rPr>
              <w:t>Needham Daniel R.</w:t>
            </w:r>
          </w:p>
        </w:tc>
        <w:tc>
          <w:tcPr>
            <w:tcW w:type="dxa" w:w="1440"/>
          </w:tcPr>
          <w:p>
            <w:r>
              <w:rPr>
                <w:rFonts w:ascii="Calibri" w:hAnsi="Calibri"/>
                <w:sz w:val="22"/>
              </w:rPr>
              <w:t>Executive Vice President (retiring)</w:t>
            </w:r>
          </w:p>
        </w:tc>
        <w:tc>
          <w:tcPr>
            <w:tcW w:type="dxa" w:w="1440"/>
          </w:tcPr>
          <w:p>
            <w:r>
              <w:rPr>
                <w:rFonts w:ascii="Calibri" w:hAnsi="Calibri"/>
                <w:sz w:val="22"/>
              </w:rPr>
              <w:t>Open Market Sale (S)</w:t>
            </w:r>
          </w:p>
        </w:tc>
        <w:tc>
          <w:tcPr>
            <w:tcW w:type="dxa" w:w="1440"/>
          </w:tcPr>
          <w:p>
            <w:r>
              <w:rPr>
                <w:rFonts w:ascii="Calibri" w:hAnsi="Calibri"/>
                <w:sz w:val="22"/>
              </w:rPr>
              <w:t>12,888</w:t>
            </w:r>
          </w:p>
        </w:tc>
        <w:tc>
          <w:tcPr>
            <w:tcW w:type="dxa" w:w="1440"/>
          </w:tcPr>
          <w:p>
            <w:r>
              <w:rPr>
                <w:rFonts w:ascii="Calibri" w:hAnsi="Calibri"/>
                <w:sz w:val="22"/>
              </w:rPr>
              <w:t>May 1, 2026</w:t>
            </w:r>
          </w:p>
        </w:tc>
        <w:tc>
          <w:tcPr>
            <w:tcW w:type="dxa" w:w="1440"/>
          </w:tcPr>
          <w:p>
            <w:r>
              <w:rPr>
                <w:rFonts w:ascii="Calibri" w:hAnsi="Calibri"/>
                <w:sz w:val="22"/>
              </w:rPr>
              <w:t>Retirement-related sale; Needham retired June 20, 2026; expected liquidation</w:t>
            </w:r>
          </w:p>
        </w:tc>
      </w:tr>
      <w:tr>
        <w:tc>
          <w:tcPr>
            <w:tcW w:type="dxa" w:w="1440"/>
          </w:tcPr>
          <w:p>
            <w:r>
              <w:rPr>
                <w:rFonts w:ascii="Calibri" w:hAnsi="Calibri"/>
                <w:sz w:val="22"/>
              </w:rPr>
              <w:t>Sumoski David A</w:t>
            </w:r>
          </w:p>
        </w:tc>
        <w:tc>
          <w:tcPr>
            <w:tcW w:type="dxa" w:w="1440"/>
          </w:tcPr>
          <w:p>
            <w:r>
              <w:rPr>
                <w:rFonts w:ascii="Calibri" w:hAnsi="Calibri"/>
                <w:sz w:val="22"/>
              </w:rPr>
              <w:t>Executive Vice President</w:t>
            </w:r>
          </w:p>
        </w:tc>
        <w:tc>
          <w:tcPr>
            <w:tcW w:type="dxa" w:w="1440"/>
          </w:tcPr>
          <w:p>
            <w:r>
              <w:rPr>
                <w:rFonts w:ascii="Calibri" w:hAnsi="Calibri"/>
                <w:sz w:val="22"/>
              </w:rPr>
              <w:t>Option Exercise + Same-Day Sale (M/S)</w:t>
            </w:r>
          </w:p>
        </w:tc>
        <w:tc>
          <w:tcPr>
            <w:tcW w:type="dxa" w:w="1440"/>
          </w:tcPr>
          <w:p>
            <w:r>
              <w:rPr>
                <w:rFonts w:ascii="Calibri" w:hAnsi="Calibri"/>
                <w:sz w:val="22"/>
              </w:rPr>
              <w:t>33,068 (exercise &amp; sell)</w:t>
            </w:r>
          </w:p>
        </w:tc>
        <w:tc>
          <w:tcPr>
            <w:tcW w:type="dxa" w:w="1440"/>
          </w:tcPr>
          <w:p>
            <w:r>
              <w:rPr>
                <w:rFonts w:ascii="Calibri" w:hAnsi="Calibri"/>
                <w:sz w:val="22"/>
              </w:rPr>
              <w:t>Apr 30, 2026</w:t>
            </w:r>
          </w:p>
        </w:tc>
        <w:tc>
          <w:tcPr>
            <w:tcW w:type="dxa" w:w="1440"/>
          </w:tcPr>
          <w:p>
            <w:r>
              <w:rPr>
                <w:rFonts w:ascii="Calibri" w:hAnsi="Calibri"/>
                <w:sz w:val="22"/>
              </w:rPr>
              <w:t>Cashless option exercise; simultaneous exercise and sale; routine; not a discretionary sell signal</w:t>
            </w:r>
          </w:p>
        </w:tc>
      </w:tr>
      <w:tr>
        <w:tc>
          <w:tcPr>
            <w:tcW w:type="dxa" w:w="1440"/>
          </w:tcPr>
          <w:p>
            <w:r>
              <w:rPr>
                <w:rFonts w:ascii="Calibri" w:hAnsi="Calibri"/>
                <w:sz w:val="22"/>
              </w:rPr>
              <w:t>Ford Bradley</w:t>
            </w:r>
          </w:p>
        </w:tc>
        <w:tc>
          <w:tcPr>
            <w:tcW w:type="dxa" w:w="1440"/>
          </w:tcPr>
          <w:p>
            <w:r>
              <w:rPr>
                <w:rFonts w:ascii="Calibri" w:hAnsi="Calibri"/>
                <w:sz w:val="22"/>
              </w:rPr>
              <w:t>Executive Vice President</w:t>
            </w:r>
          </w:p>
        </w:tc>
        <w:tc>
          <w:tcPr>
            <w:tcW w:type="dxa" w:w="1440"/>
          </w:tcPr>
          <w:p>
            <w:r>
              <w:rPr>
                <w:rFonts w:ascii="Calibri" w:hAnsi="Calibri"/>
                <w:sz w:val="22"/>
              </w:rPr>
              <w:t>Open Market Sale (S)</w:t>
            </w:r>
          </w:p>
        </w:tc>
        <w:tc>
          <w:tcPr>
            <w:tcW w:type="dxa" w:w="1440"/>
          </w:tcPr>
          <w:p>
            <w:r>
              <w:rPr>
                <w:rFonts w:ascii="Calibri" w:hAnsi="Calibri"/>
                <w:sz w:val="22"/>
              </w:rPr>
              <w:t>2,240</w:t>
            </w:r>
          </w:p>
        </w:tc>
        <w:tc>
          <w:tcPr>
            <w:tcW w:type="dxa" w:w="1440"/>
          </w:tcPr>
          <w:p>
            <w:r>
              <w:rPr>
                <w:rFonts w:ascii="Calibri" w:hAnsi="Calibri"/>
                <w:sz w:val="22"/>
              </w:rPr>
              <w:t>May 5, 2026</w:t>
            </w:r>
          </w:p>
        </w:tc>
        <w:tc>
          <w:tcPr>
            <w:tcW w:type="dxa" w:w="1440"/>
          </w:tcPr>
          <w:p>
            <w:r>
              <w:rPr>
                <w:rFonts w:ascii="Calibri" w:hAnsi="Calibri"/>
                <w:sz w:val="22"/>
              </w:rPr>
              <w:t>Small post-earnings sale; not unusual in size or timing</w:t>
            </w:r>
          </w:p>
        </w:tc>
      </w:tr>
    </w:tbl>
    <w:p>
      <w:r>
        <w:rPr>
          <w:rFonts w:ascii="Calibri" w:hAnsi="Calibri"/>
          <w:b/>
          <w:color w:val="525866"/>
          <w:sz w:val="22"/>
        </w:rPr>
        <w:t xml:space="preserve">Overall Assessment: </w:t>
      </w:r>
      <w:r>
        <w:rPr>
          <w:rFonts w:ascii="Calibri" w:hAnsi="Calibri"/>
          <w:color w:val="525866"/>
          <w:sz w:val="22"/>
        </w:rPr>
        <w:t>No insider transaction in the period constitutes a meaningful signal. The June 1 cluster of “A” (award) transactions is the annual equity compensation grant — a routine event that occurs simultaneously for all senior executives and directors and carries no informational content. The post-Q1 earnings sales (May 1–5) are consistent with normal trading window behavior following a strong beat. CEO Topalian’s option exercise without a corresponding sale is the only mildly positive signal. The absence of any open-market buys is notable but not unusual given the stock’s +15% rally since the Q1 print.</w:t>
      </w:r>
    </w:p>
    <w:p>
      <w:r>
        <w:rPr>
          <w:rFonts w:ascii="Calibri" w:hAnsi="Calibri"/>
          <w:i/>
          <w:color w:val="525866"/>
          <w:sz w:val="22"/>
        </w:rPr>
        <w:t>Source: SEC Form 4 filings via Insider Transaction Data. Transaction codes: A = Award/Grant, S = Open Market Sale, M = Option Exercise.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