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Bdr>
          <w:bottom w:val="single" w:sz="4" w:space="1" w:color="FB9120"/>
        </w:pBdr>
      </w:pPr>
      <w:r>
        <w:rPr>
          <w:rFonts w:ascii="Calibri" w:hAnsi="Calibri"/>
          <w:b/>
          <w:color w:val="3B4259"/>
          <w:sz w:val="40"/>
        </w:rPr>
        <w:t>Nucor Corporation (NUE) — Q2 2026 Earnings Preview</w:t>
      </w:r>
    </w:p>
    <w:tbl>
      <w:tblPr>
        <w:tblStyle w:val="TableGrid"/>
        <w:tblW w:type="auto" w:w="0"/>
        <w:tblLook w:firstColumn="1" w:firstRow="1" w:lastColumn="0" w:lastRow="0" w:noHBand="0" w:noVBand="1" w:val="04A0"/>
      </w:tblPr>
      <w:tblGrid>
        <w:gridCol w:w="4320"/>
        <w:gridCol w:w="4320"/>
      </w:tblGrid>
      <w:tr>
        <w:tc>
          <w:tcPr>
            <w:tcW w:type="dxa" w:w="4320"/>
          </w:tcPr>
          <w:p>
            <w:r>
              <w:rPr>
                <w:rFonts w:ascii="Calibri" w:hAnsi="Calibri"/>
                <w:b/>
                <w:sz w:val="22"/>
              </w:rPr>
              <w:t>Company</w:t>
            </w:r>
          </w:p>
        </w:tc>
        <w:tc>
          <w:tcPr>
            <w:tcW w:type="dxa" w:w="4320"/>
          </w:tcPr>
          <w:p>
            <w:r>
              <w:rPr>
                <w:rFonts w:ascii="Calibri" w:hAnsi="Calibri"/>
                <w:sz w:val="22"/>
              </w:rPr>
              <w:t>Nucor Corporation</w:t>
            </w:r>
          </w:p>
        </w:tc>
      </w:tr>
      <w:tr>
        <w:tc>
          <w:tcPr>
            <w:tcW w:type="dxa" w:w="4320"/>
          </w:tcPr>
          <w:p>
            <w:r>
              <w:rPr>
                <w:rFonts w:ascii="Calibri" w:hAnsi="Calibri"/>
                <w:b/>
                <w:sz w:val="22"/>
              </w:rPr>
              <w:t>Ticker</w:t>
            </w:r>
          </w:p>
        </w:tc>
        <w:tc>
          <w:tcPr>
            <w:tcW w:type="dxa" w:w="4320"/>
          </w:tcPr>
          <w:p>
            <w:r>
              <w:rPr>
                <w:rFonts w:ascii="Calibri" w:hAnsi="Calibri"/>
                <w:sz w:val="22"/>
              </w:rPr>
              <w:t>NUE (NYSE)</w:t>
            </w:r>
          </w:p>
        </w:tc>
      </w:tr>
      <w:tr>
        <w:tc>
          <w:tcPr>
            <w:tcW w:type="dxa" w:w="4320"/>
          </w:tcPr>
          <w:p>
            <w:r>
              <w:rPr>
                <w:rFonts w:ascii="Calibri" w:hAnsi="Calibri"/>
                <w:b/>
                <w:sz w:val="22"/>
              </w:rPr>
              <w:t>Reporting Period</w:t>
            </w:r>
          </w:p>
        </w:tc>
        <w:tc>
          <w:tcPr>
            <w:tcW w:type="dxa" w:w="4320"/>
          </w:tcPr>
          <w:p>
            <w:r>
              <w:rPr>
                <w:rFonts w:ascii="Calibri" w:hAnsi="Calibri"/>
                <w:sz w:val="22"/>
              </w:rPr>
              <w:t>Q2 2026 (quarter ending July 4, 2026)</w:t>
            </w:r>
          </w:p>
        </w:tc>
      </w:tr>
      <w:tr>
        <w:tc>
          <w:tcPr>
            <w:tcW w:type="dxa" w:w="4320"/>
          </w:tcPr>
          <w:p>
            <w:r>
              <w:rPr>
                <w:rFonts w:ascii="Calibri" w:hAnsi="Calibri"/>
                <w:b/>
                <w:sz w:val="22"/>
              </w:rPr>
              <w:t>Earnings Release</w:t>
            </w:r>
          </w:p>
        </w:tc>
        <w:tc>
          <w:tcPr>
            <w:tcW w:type="dxa" w:w="4320"/>
          </w:tcPr>
          <w:p>
            <w:r>
              <w:rPr>
                <w:rFonts w:ascii="Calibri" w:hAnsi="Calibri"/>
                <w:sz w:val="22"/>
              </w:rPr>
              <w:t>July 27, 2026 (after market close)</w:t>
            </w:r>
          </w:p>
        </w:tc>
      </w:tr>
      <w:tr>
        <w:tc>
          <w:tcPr>
            <w:tcW w:type="dxa" w:w="4320"/>
          </w:tcPr>
          <w:p>
            <w:r>
              <w:rPr>
                <w:rFonts w:ascii="Calibri" w:hAnsi="Calibri"/>
                <w:b/>
                <w:sz w:val="22"/>
              </w:rPr>
              <w:t>Conference Call</w:t>
            </w:r>
          </w:p>
        </w:tc>
        <w:tc>
          <w:tcPr>
            <w:tcW w:type="dxa" w:w="4320"/>
          </w:tcPr>
          <w:p>
            <w:r>
              <w:rPr>
                <w:rFonts w:ascii="Calibri" w:hAnsi="Calibri"/>
                <w:sz w:val="22"/>
              </w:rPr>
              <w:t>July 28, 2026 at 10:00 a.m. ET</w:t>
            </w:r>
          </w:p>
        </w:tc>
      </w:tr>
      <w:tr>
        <w:tc>
          <w:tcPr>
            <w:tcW w:type="dxa" w:w="4320"/>
          </w:tcPr>
          <w:p>
            <w:r>
              <w:rPr>
                <w:rFonts w:ascii="Calibri" w:hAnsi="Calibri"/>
                <w:b/>
                <w:sz w:val="22"/>
              </w:rPr>
              <w:t>Prepared</w:t>
            </w:r>
          </w:p>
        </w:tc>
        <w:tc>
          <w:tcPr>
            <w:tcW w:type="dxa" w:w="4320"/>
          </w:tcPr>
          <w:p>
            <w:r>
              <w:rPr>
                <w:rFonts w:ascii="Calibri" w:hAnsi="Calibri"/>
                <w:sz w:val="22"/>
              </w:rPr>
              <w:t>July 26, 2026</w:t>
            </w:r>
          </w:p>
        </w:tc>
      </w:tr>
      <w:tr>
        <w:tc>
          <w:tcPr>
            <w:tcW w:type="dxa" w:w="4320"/>
          </w:tcPr>
          <w:p>
            <w:r>
              <w:rPr>
                <w:rFonts w:ascii="Calibri" w:hAnsi="Calibri"/>
                <w:b/>
                <w:sz w:val="22"/>
              </w:rPr>
              <w:t>Sector ETF Benchmark</w:t>
            </w:r>
          </w:p>
        </w:tc>
        <w:tc>
          <w:tcPr>
            <w:tcW w:type="dxa" w:w="4320"/>
          </w:tcPr>
          <w:p>
            <w:r>
              <w:rPr>
                <w:rFonts w:ascii="Calibri" w:hAnsi="Calibri"/>
                <w:sz w:val="22"/>
              </w:rPr>
              <w:t>XME (SPDR S&amp;P Metals &amp; Mining ETF)</w:t>
            </w:r>
          </w:p>
        </w:tc>
      </w:tr>
    </w:tbl>
    <w:p>
      <w:r>
        <w:br w:type="page"/>
      </w:r>
    </w:p>
    <w:p>
      <w:pPr>
        <w:pStyle w:val="Heading2"/>
      </w:pPr>
      <w:r>
        <w:rPr>
          <w:rFonts w:ascii="Calibri" w:hAnsi="Calibri"/>
          <w:b/>
          <w:color w:val="3B4259"/>
          <w:sz w:val="28"/>
        </w:rPr>
        <w:t>1. Earnings Preview</w:t>
      </w:r>
    </w:p>
    <w:p>
      <w:r>
        <w:rPr>
          <w:rFonts w:ascii="Calibri" w:hAnsi="Calibri"/>
          <w:b/>
          <w:color w:val="525866"/>
          <w:sz w:val="22"/>
        </w:rPr>
        <w:t xml:space="preserve">Key Takeaway: </w:t>
      </w:r>
      <w:r>
        <w:rPr>
          <w:rFonts w:ascii="Calibri" w:hAnsi="Calibri"/>
          <w:color w:val="525866"/>
          <w:sz w:val="22"/>
        </w:rPr>
        <w:t>Setup is constructive — NUE issued explicit Q2 EPS guidance of $4.50–$4.60 (adj.) on June 17, well above Q1's $3.23, and consensus at $4.46 sits just below the guidance midpoint, leaving a low bar for a beat; the single biggest swing factor is whether steel mill ASP and volume momentum can sustain the trajectory signaled by peers STLD and CLF, both of which reported record or near-record Q2 shipments and sharply higher realized prices.</w:t>
      </w:r>
    </w:p>
    <w:p>
      <w:r>
        <w:rPr>
          <w:rFonts w:ascii="Calibri" w:hAnsi="Calibri"/>
          <w:color w:val="525866"/>
          <w:sz w:val="22"/>
        </w:rPr>
        <w:t xml:space="preserve">Nucor heads into Q2 2026 earnings with one of the clearest guidance setups in recent memory: management issued a formal pre-announcement on June 17 guiding adjusted EPS to $4.50–$4.60, a 39–42% sequential step-up from Q1's $3.23, driven by higher steel mill ASPs, stable volumes, a ~$130M raw material cost refund benefiting COGS, and improving steel products volumes. </w:t>
      </w:r>
      <w:r>
        <w:rPr>
          <w:rFonts w:ascii="Calibri" w:hAnsi="Calibri"/>
          <w:color w:val="525866"/>
          <w:sz w:val="22"/>
        </w:rPr>
        <w:t xml:space="preserve">Consensus at $4.46 sits fractionally below the guidance midpoint of $4.55, implying the bar is not stretched — a clean execution print should be sufficient to beat. </w:t>
      </w:r>
      <w:r>
        <w:rPr>
          <w:rFonts w:ascii="Calibri" w:hAnsi="Calibri"/>
          <w:color w:val="525866"/>
          <w:sz w:val="22"/>
        </w:rPr>
        <w:t xml:space="preserve">Estimate revisions have been strongly positive since the Q1 beat: the 2Q 2026 EPS consensus has risen from $4.16 post-Q1 earnings to $4.46 today (+7%), and the FY 2026 consensus has surged from $14.71 to $16.80 (+14%), reflecting both the guidance raise and peer read-throughs confirming robust steel demand. </w:t>
      </w:r>
      <w:r>
        <w:rPr>
          <w:rFonts w:ascii="Calibri" w:hAnsi="Calibri"/>
          <w:color w:val="525866"/>
          <w:sz w:val="22"/>
        </w:rPr>
        <w:t xml:space="preserve">The stock has rallied ~15% since last earnings (Apr 27) to ~$247.60, outperforming XME meaningfully, suggesting the market has partially priced in the beat — but the multiple remains undemanding at ~14x NTM P/E, leaving room for further re-rating if management upgrades full-year volume guidance toward double-digit growth. </w:t>
      </w:r>
      <w:r>
        <w:rPr>
          <w:rFonts w:ascii="Calibri" w:hAnsi="Calibri"/>
          <w:color w:val="525866"/>
          <w:sz w:val="22"/>
        </w:rPr>
        <w:t>The key wildcard is the USMCA renegotiation and Canadian tariff escalation (Trump threatened 50% tariffs on Canadian goods on July 20), which could disrupt scrap supply chains and reintroduce import uncertainty — though near-term, the 50% Section 232 tariff regime remains firmly in place and import market share has already declined from ~22% to ~15%.</w:t>
      </w:r>
    </w:p>
    <w:p>
      <w:r>
        <w:br w:type="page"/>
      </w:r>
    </w:p>
    <w:p>
      <w:pPr>
        <w:pStyle w:val="Heading2"/>
      </w:pPr>
      <w:r>
        <w:rPr>
          <w:rFonts w:ascii="Calibri" w:hAnsi="Calibri"/>
          <w:b/>
          <w:color w:val="3B4259"/>
          <w:sz w:val="28"/>
        </w:rPr>
        <w:t>2. KPIs &amp; Consensus Expectations</w:t>
      </w:r>
    </w:p>
    <w:p>
      <w:r>
        <w:rPr>
          <w:rFonts w:ascii="Calibri" w:hAnsi="Calibri"/>
          <w:b/>
          <w:color w:val="525866"/>
          <w:sz w:val="22"/>
        </w:rPr>
        <w:t xml:space="preserve">Key Takeaway: </w:t>
      </w:r>
      <w:r>
        <w:rPr>
          <w:rFonts w:ascii="Calibri" w:hAnsi="Calibri"/>
          <w:color w:val="525866"/>
          <w:sz w:val="22"/>
        </w:rPr>
        <w:t>Consensus is a low bar — management's own June 17 pre-announcement guides adj. EPS to $4.50–$4.60 vs. consensus at $4.46, and steel mill shipments consensus of 5.53M tons is below Q1's record 5.62M tons, leaving room for upside on both volume and price. The bigger swing factor is ASP: consensus at $1,142/ton implies a ~$68/ton sequential increase, which peers STLD (+$105/ton) and CLF (+$76/ton) have already validated.</w:t>
      </w:r>
    </w:p>
    <w:p>
      <w:pPr>
        <w:pStyle w:val="Heading3"/>
      </w:pPr>
      <w:r>
        <w:rPr>
          <w:rFonts w:ascii="Calibri" w:hAnsi="Calibri"/>
          <w:b/>
          <w:color w:val="3B4259"/>
          <w:sz w:val="24"/>
        </w:rPr>
        <w:t>Table 1 — Q2 2026 Current Quarter Snapshot (All Key KPIs)</w:t>
      </w:r>
    </w:p>
    <w:tbl>
      <w:tblPr>
        <w:tblStyle w:val="TableGrid"/>
        <w:tblW w:type="auto" w:w="0"/>
        <w:tblLook w:firstColumn="1" w:firstRow="1" w:lastColumn="0" w:lastRow="0" w:noHBand="0" w:noVBand="1" w:val="04A0"/>
      </w:tblPr>
      <w:tblGrid>
        <w:gridCol w:w="1234"/>
        <w:gridCol w:w="1234"/>
        <w:gridCol w:w="1234"/>
        <w:gridCol w:w="1234"/>
        <w:gridCol w:w="1234"/>
        <w:gridCol w:w="1234"/>
        <w:gridCol w:w="1234"/>
      </w:tblGrid>
      <w:tr>
        <w:tc>
          <w:tcPr>
            <w:tcW w:type="dxa" w:w="1234"/>
            <w:shd w:val="clear" w:color="auto" w:fill="3B4259"/>
          </w:tcPr>
          <w:p>
            <w:r>
              <w:rPr>
                <w:rFonts w:ascii="Calibri" w:hAnsi="Calibri"/>
                <w:b/>
                <w:color w:val="FFFFFF"/>
                <w:sz w:val="22"/>
              </w:rPr>
              <w:t>KPI</w:t>
            </w:r>
          </w:p>
        </w:tc>
        <w:tc>
          <w:tcPr>
            <w:tcW w:type="dxa" w:w="1234"/>
            <w:shd w:val="clear" w:color="auto" w:fill="3B4259"/>
          </w:tcPr>
          <w:p>
            <w:r>
              <w:rPr>
                <w:rFonts w:ascii="Calibri" w:hAnsi="Calibri"/>
                <w:b/>
                <w:color w:val="FFFFFF"/>
                <w:sz w:val="22"/>
              </w:rPr>
              <w:t>Q1 2026 Actual</w:t>
            </w:r>
          </w:p>
        </w:tc>
        <w:tc>
          <w:tcPr>
            <w:tcW w:type="dxa" w:w="1234"/>
            <w:shd w:val="clear" w:color="auto" w:fill="3B4259"/>
          </w:tcPr>
          <w:p>
            <w:r>
              <w:rPr>
                <w:rFonts w:ascii="Calibri" w:hAnsi="Calibri"/>
                <w:b/>
                <w:color w:val="FFFFFF"/>
                <w:sz w:val="22"/>
              </w:rPr>
              <w:t>Q2 2025 Actual (Prior Year)</w:t>
            </w:r>
          </w:p>
        </w:tc>
        <w:tc>
          <w:tcPr>
            <w:tcW w:type="dxa" w:w="1234"/>
            <w:shd w:val="clear" w:color="auto" w:fill="3B4259"/>
          </w:tcPr>
          <w:p>
            <w:r>
              <w:rPr>
                <w:rFonts w:ascii="Calibri" w:hAnsi="Calibri"/>
                <w:b/>
                <w:color w:val="FFFFFF"/>
                <w:sz w:val="22"/>
              </w:rPr>
              <w:t>Q2 2026 Consensus Est.</w:t>
            </w:r>
          </w:p>
        </w:tc>
        <w:tc>
          <w:tcPr>
            <w:tcW w:type="dxa" w:w="1234"/>
            <w:shd w:val="clear" w:color="auto" w:fill="3B4259"/>
          </w:tcPr>
          <w:p>
            <w:r>
              <w:rPr>
                <w:rFonts w:ascii="Calibri" w:hAnsi="Calibri"/>
                <w:b/>
                <w:color w:val="FFFFFF"/>
                <w:sz w:val="22"/>
              </w:rPr>
              <w:t>YoY Change</w:t>
            </w:r>
          </w:p>
        </w:tc>
        <w:tc>
          <w:tcPr>
            <w:tcW w:type="dxa" w:w="1234"/>
            <w:shd w:val="clear" w:color="auto" w:fill="3B4259"/>
          </w:tcPr>
          <w:p>
            <w:r>
              <w:rPr>
                <w:rFonts w:ascii="Calibri" w:hAnsi="Calibri"/>
                <w:b/>
                <w:color w:val="FFFFFF"/>
                <w:sz w:val="22"/>
              </w:rPr>
              <w:t>Guidance (June 17 Pre-Ann.)</w:t>
            </w:r>
          </w:p>
        </w:tc>
        <w:tc>
          <w:tcPr>
            <w:tcW w:type="dxa" w:w="1234"/>
            <w:shd w:val="clear" w:color="auto" w:fill="3B4259"/>
          </w:tcPr>
          <w:p>
            <w:r>
              <w:rPr>
                <w:rFonts w:ascii="Calibri" w:hAnsi="Calibri"/>
                <w:b/>
                <w:color w:val="FFFFFF"/>
                <w:sz w:val="22"/>
              </w:rPr>
              <w:t>Consensus vs. Guidance Midpoint</w:t>
            </w:r>
          </w:p>
        </w:tc>
      </w:tr>
      <w:tr>
        <w:tc>
          <w:tcPr>
            <w:tcW w:type="dxa" w:w="1234"/>
          </w:tcPr>
          <w:p>
            <w:r>
              <w:rPr>
                <w:rFonts w:ascii="Calibri" w:hAnsi="Calibri"/>
                <w:sz w:val="22"/>
              </w:rPr>
              <w:t>EPS — Diluted Operating ($)</w:t>
            </w:r>
          </w:p>
        </w:tc>
        <w:tc>
          <w:tcPr>
            <w:tcW w:type="dxa" w:w="1234"/>
          </w:tcPr>
          <w:p>
            <w:r>
              <w:rPr>
                <w:rFonts w:ascii="Calibri" w:hAnsi="Calibri"/>
                <w:sz w:val="22"/>
              </w:rPr>
              <w:t>3.23</w:t>
            </w:r>
          </w:p>
        </w:tc>
        <w:tc>
          <w:tcPr>
            <w:tcW w:type="dxa" w:w="1234"/>
          </w:tcPr>
          <w:p>
            <w:r>
              <w:rPr>
                <w:rFonts w:ascii="Calibri" w:hAnsi="Calibri"/>
                <w:sz w:val="22"/>
              </w:rPr>
              <w:t>2.60</w:t>
            </w:r>
          </w:p>
        </w:tc>
        <w:tc>
          <w:tcPr>
            <w:tcW w:type="dxa" w:w="1234"/>
          </w:tcPr>
          <w:p>
            <w:r>
              <w:rPr>
                <w:rFonts w:ascii="Calibri" w:hAnsi="Calibri"/>
                <w:sz w:val="22"/>
              </w:rPr>
              <w:t>4.46</w:t>
            </w:r>
          </w:p>
        </w:tc>
        <w:tc>
          <w:tcPr>
            <w:tcW w:type="dxa" w:w="1234"/>
          </w:tcPr>
          <w:p>
            <w:r>
              <w:rPr>
                <w:rFonts w:ascii="Calibri" w:hAnsi="Calibri"/>
                <w:sz w:val="22"/>
              </w:rPr>
              <w:t>+71.5% YoY</w:t>
            </w:r>
          </w:p>
        </w:tc>
        <w:tc>
          <w:tcPr>
            <w:tcW w:type="dxa" w:w="1234"/>
          </w:tcPr>
          <w:p>
            <w:r>
              <w:rPr>
                <w:rFonts w:ascii="Calibri" w:hAnsi="Calibri"/>
                <w:sz w:val="22"/>
              </w:rPr>
              <w:t>$4.50–$4.60 adj. ($4.70–$4.80 incl. ~$0.20 Helion gain)</w:t>
            </w:r>
          </w:p>
        </w:tc>
        <w:tc>
          <w:tcPr>
            <w:tcW w:type="dxa" w:w="1234"/>
          </w:tcPr>
          <w:p>
            <w:r>
              <w:rPr>
                <w:rFonts w:ascii="Calibri" w:hAnsi="Calibri"/>
                <w:sz w:val="22"/>
              </w:rPr>
              <w:t>−2.0% below adj. midpoint ($4.55)</w:t>
            </w:r>
          </w:p>
        </w:tc>
      </w:tr>
      <w:tr>
        <w:tc>
          <w:tcPr>
            <w:tcW w:type="dxa" w:w="1234"/>
          </w:tcPr>
          <w:p>
            <w:r>
              <w:rPr>
                <w:rFonts w:ascii="Calibri" w:hAnsi="Calibri"/>
                <w:sz w:val="22"/>
              </w:rPr>
              <w:t>Total Revenue ($B)</w:t>
            </w:r>
          </w:p>
        </w:tc>
        <w:tc>
          <w:tcPr>
            <w:tcW w:type="dxa" w:w="1234"/>
          </w:tcPr>
          <w:p>
            <w:r>
              <w:rPr>
                <w:rFonts w:ascii="Calibri" w:hAnsi="Calibri"/>
                <w:sz w:val="22"/>
              </w:rPr>
              <w:t>$9.50B</w:t>
            </w:r>
          </w:p>
        </w:tc>
        <w:tc>
          <w:tcPr>
            <w:tcW w:type="dxa" w:w="1234"/>
          </w:tcPr>
          <w:p>
            <w:r>
              <w:rPr>
                <w:rFonts w:ascii="Calibri" w:hAnsi="Calibri"/>
                <w:sz w:val="22"/>
              </w:rPr>
              <w:t>$8.46B</w:t>
            </w:r>
          </w:p>
        </w:tc>
        <w:tc>
          <w:tcPr>
            <w:tcW w:type="dxa" w:w="1234"/>
          </w:tcPr>
          <w:p>
            <w:r>
              <w:rPr>
                <w:rFonts w:ascii="Calibri" w:hAnsi="Calibri"/>
                <w:sz w:val="22"/>
              </w:rPr>
              <w:t>$9.99B</w:t>
            </w:r>
          </w:p>
        </w:tc>
        <w:tc>
          <w:tcPr>
            <w:tcW w:type="dxa" w:w="1234"/>
          </w:tcPr>
          <w:p>
            <w:r>
              <w:rPr>
                <w:rFonts w:ascii="Calibri" w:hAnsi="Calibri"/>
                <w:sz w:val="22"/>
              </w:rPr>
              <w:t>+18.1% YoY</w:t>
            </w:r>
          </w:p>
        </w:tc>
        <w:tc>
          <w:tcPr>
            <w:tcW w:type="dxa" w:w="1234"/>
          </w:tcPr>
          <w:p>
            <w:r>
              <w:rPr>
                <w:rFonts w:ascii="Calibri" w:hAnsi="Calibri"/>
                <w:sz w:val="22"/>
              </w:rPr>
              <w:t>Not explicitly guided</w:t>
            </w:r>
          </w:p>
        </w:tc>
        <w:tc>
          <w:tcPr>
            <w:tcW w:type="dxa" w:w="1234"/>
          </w:tcPr>
          <w:p>
            <w:r>
              <w:rPr>
                <w:rFonts w:ascii="Calibri" w:hAnsi="Calibri"/>
                <w:sz w:val="22"/>
              </w:rPr>
              <w:t>N/A</w:t>
            </w:r>
          </w:p>
        </w:tc>
      </w:tr>
      <w:tr>
        <w:tc>
          <w:tcPr>
            <w:tcW w:type="dxa" w:w="1234"/>
          </w:tcPr>
          <w:p>
            <w:r>
              <w:rPr>
                <w:rFonts w:ascii="Calibri" w:hAnsi="Calibri"/>
                <w:sz w:val="22"/>
              </w:rPr>
              <w:t>Steel Mills Shipments (M short tons)</w:t>
            </w:r>
          </w:p>
        </w:tc>
        <w:tc>
          <w:tcPr>
            <w:tcW w:type="dxa" w:w="1234"/>
          </w:tcPr>
          <w:p>
            <w:r>
              <w:rPr>
                <w:rFonts w:ascii="Calibri" w:hAnsi="Calibri"/>
                <w:sz w:val="22"/>
              </w:rPr>
              <w:t>5.619M</w:t>
            </w:r>
          </w:p>
        </w:tc>
        <w:tc>
          <w:tcPr>
            <w:tcW w:type="dxa" w:w="1234"/>
          </w:tcPr>
          <w:p>
            <w:r>
              <w:rPr>
                <w:rFonts w:ascii="Calibri" w:hAnsi="Calibri"/>
                <w:sz w:val="22"/>
              </w:rPr>
              <w:t>5.044M</w:t>
            </w:r>
          </w:p>
        </w:tc>
        <w:tc>
          <w:tcPr>
            <w:tcW w:type="dxa" w:w="1234"/>
          </w:tcPr>
          <w:p>
            <w:r>
              <w:rPr>
                <w:rFonts w:ascii="Calibri" w:hAnsi="Calibri"/>
                <w:sz w:val="22"/>
              </w:rPr>
              <w:t>5.532M</w:t>
            </w:r>
          </w:p>
        </w:tc>
        <w:tc>
          <w:tcPr>
            <w:tcW w:type="dxa" w:w="1234"/>
          </w:tcPr>
          <w:p>
            <w:r>
              <w:rPr>
                <w:rFonts w:ascii="Calibri" w:hAnsi="Calibri"/>
                <w:sz w:val="22"/>
              </w:rPr>
              <w:t>+9.7% YoY</w:t>
            </w:r>
          </w:p>
        </w:tc>
        <w:tc>
          <w:tcPr>
            <w:tcW w:type="dxa" w:w="1234"/>
          </w:tcPr>
          <w:p>
            <w:r>
              <w:rPr>
                <w:rFonts w:ascii="Calibri" w:hAnsi="Calibri"/>
                <w:sz w:val="22"/>
              </w:rPr>
              <w:t>Stable volumes (steel mills)</w:t>
            </w:r>
          </w:p>
        </w:tc>
        <w:tc>
          <w:tcPr>
            <w:tcW w:type="dxa" w:w="1234"/>
          </w:tcPr>
          <w:p>
            <w:r>
              <w:rPr>
                <w:rFonts w:ascii="Calibri" w:hAnsi="Calibri"/>
                <w:sz w:val="22"/>
              </w:rPr>
              <w:t>In line with guidance</w:t>
            </w:r>
          </w:p>
        </w:tc>
      </w:tr>
      <w:tr>
        <w:tc>
          <w:tcPr>
            <w:tcW w:type="dxa" w:w="1234"/>
          </w:tcPr>
          <w:p>
            <w:r>
              <w:rPr>
                <w:rFonts w:ascii="Calibri" w:hAnsi="Calibri"/>
                <w:sz w:val="22"/>
              </w:rPr>
              <w:t>Steel Mills ASP ($/ton)</w:t>
            </w:r>
          </w:p>
        </w:tc>
        <w:tc>
          <w:tcPr>
            <w:tcW w:type="dxa" w:w="1234"/>
          </w:tcPr>
          <w:p>
            <w:r>
              <w:rPr>
                <w:rFonts w:ascii="Calibri" w:hAnsi="Calibri"/>
                <w:sz w:val="22"/>
              </w:rPr>
              <w:t>$1,074</w:t>
            </w:r>
          </w:p>
        </w:tc>
        <w:tc>
          <w:tcPr>
            <w:tcW w:type="dxa" w:w="1234"/>
          </w:tcPr>
          <w:p>
            <w:r>
              <w:rPr>
                <w:rFonts w:ascii="Calibri" w:hAnsi="Calibri"/>
                <w:sz w:val="22"/>
              </w:rPr>
              <w:t>$1,041</w:t>
            </w:r>
          </w:p>
        </w:tc>
        <w:tc>
          <w:tcPr>
            <w:tcW w:type="dxa" w:w="1234"/>
          </w:tcPr>
          <w:p>
            <w:r>
              <w:rPr>
                <w:rFonts w:ascii="Calibri" w:hAnsi="Calibri"/>
                <w:sz w:val="22"/>
              </w:rPr>
              <w:t>$1,142</w:t>
            </w:r>
          </w:p>
        </w:tc>
        <w:tc>
          <w:tcPr>
            <w:tcW w:type="dxa" w:w="1234"/>
          </w:tcPr>
          <w:p>
            <w:r>
              <w:rPr>
                <w:rFonts w:ascii="Calibri" w:hAnsi="Calibri"/>
                <w:sz w:val="22"/>
              </w:rPr>
              <w:t>+9.7% YoY</w:t>
            </w:r>
          </w:p>
        </w:tc>
        <w:tc>
          <w:tcPr>
            <w:tcW w:type="dxa" w:w="1234"/>
          </w:tcPr>
          <w:p>
            <w:r>
              <w:rPr>
                <w:rFonts w:ascii="Calibri" w:hAnsi="Calibri"/>
                <w:sz w:val="22"/>
              </w:rPr>
              <w:t>Higher avg. selling prices (steel mills)</w:t>
            </w:r>
          </w:p>
        </w:tc>
        <w:tc>
          <w:tcPr>
            <w:tcW w:type="dxa" w:w="1234"/>
          </w:tcPr>
          <w:p>
            <w:r>
              <w:rPr>
                <w:rFonts w:ascii="Calibri" w:hAnsi="Calibri"/>
                <w:sz w:val="22"/>
              </w:rPr>
              <w:t>Consistent with guidance direction</w:t>
            </w:r>
          </w:p>
        </w:tc>
      </w:tr>
      <w:tr>
        <w:tc>
          <w:tcPr>
            <w:tcW w:type="dxa" w:w="1234"/>
          </w:tcPr>
          <w:p>
            <w:r>
              <w:rPr>
                <w:rFonts w:ascii="Calibri" w:hAnsi="Calibri"/>
                <w:sz w:val="22"/>
              </w:rPr>
              <w:t>Steel Products Shipments (M short tons)</w:t>
            </w:r>
          </w:p>
        </w:tc>
        <w:tc>
          <w:tcPr>
            <w:tcW w:type="dxa" w:w="1234"/>
          </w:tcPr>
          <w:p>
            <w:r>
              <w:rPr>
                <w:rFonts w:ascii="Calibri" w:hAnsi="Calibri"/>
                <w:sz w:val="22"/>
              </w:rPr>
              <w:t>1.159M</w:t>
            </w:r>
          </w:p>
        </w:tc>
        <w:tc>
          <w:tcPr>
            <w:tcW w:type="dxa" w:w="1234"/>
          </w:tcPr>
          <w:p>
            <w:r>
              <w:rPr>
                <w:rFonts w:ascii="Calibri" w:hAnsi="Calibri"/>
                <w:sz w:val="22"/>
              </w:rPr>
              <w:t>1.141M</w:t>
            </w:r>
          </w:p>
        </w:tc>
        <w:tc>
          <w:tcPr>
            <w:tcW w:type="dxa" w:w="1234"/>
          </w:tcPr>
          <w:p>
            <w:r>
              <w:rPr>
                <w:rFonts w:ascii="Calibri" w:hAnsi="Calibri"/>
                <w:sz w:val="22"/>
              </w:rPr>
              <w:t>1.228M</w:t>
            </w:r>
          </w:p>
        </w:tc>
        <w:tc>
          <w:tcPr>
            <w:tcW w:type="dxa" w:w="1234"/>
          </w:tcPr>
          <w:p>
            <w:r>
              <w:rPr>
                <w:rFonts w:ascii="Calibri" w:hAnsi="Calibri"/>
                <w:sz w:val="22"/>
              </w:rPr>
              <w:t>+7.6% YoY</w:t>
            </w:r>
          </w:p>
        </w:tc>
        <w:tc>
          <w:tcPr>
            <w:tcW w:type="dxa" w:w="1234"/>
          </w:tcPr>
          <w:p>
            <w:r>
              <w:rPr>
                <w:rFonts w:ascii="Calibri" w:hAnsi="Calibri"/>
                <w:sz w:val="22"/>
              </w:rPr>
              <w:t>Higher volumes, slightly higher pricing</w:t>
            </w:r>
          </w:p>
        </w:tc>
        <w:tc>
          <w:tcPr>
            <w:tcW w:type="dxa" w:w="1234"/>
          </w:tcPr>
          <w:p>
            <w:r>
              <w:rPr>
                <w:rFonts w:ascii="Calibri" w:hAnsi="Calibri"/>
                <w:sz w:val="22"/>
              </w:rPr>
              <w:t>Consistent with guidance direction</w:t>
            </w:r>
          </w:p>
        </w:tc>
      </w:tr>
      <w:tr>
        <w:tc>
          <w:tcPr>
            <w:tcW w:type="dxa" w:w="1234"/>
          </w:tcPr>
          <w:p>
            <w:r>
              <w:rPr>
                <w:rFonts w:ascii="Calibri" w:hAnsi="Calibri"/>
                <w:sz w:val="22"/>
              </w:rPr>
              <w:t>EBITDA ($B)</w:t>
            </w:r>
          </w:p>
        </w:tc>
        <w:tc>
          <w:tcPr>
            <w:tcW w:type="dxa" w:w="1234"/>
          </w:tcPr>
          <w:p>
            <w:r>
              <w:rPr>
                <w:rFonts w:ascii="Calibri" w:hAnsi="Calibri"/>
                <w:sz w:val="22"/>
              </w:rPr>
              <w:t>$1.514B</w:t>
            </w:r>
          </w:p>
        </w:tc>
        <w:tc>
          <w:tcPr>
            <w:tcW w:type="dxa" w:w="1234"/>
          </w:tcPr>
          <w:p>
            <w:r>
              <w:rPr>
                <w:rFonts w:ascii="Calibri" w:hAnsi="Calibri"/>
                <w:sz w:val="22"/>
              </w:rPr>
              <w:t>$1.295B</w:t>
            </w:r>
          </w:p>
        </w:tc>
        <w:tc>
          <w:tcPr>
            <w:tcW w:type="dxa" w:w="1234"/>
          </w:tcPr>
          <w:p>
            <w:r>
              <w:rPr>
                <w:rFonts w:ascii="Calibri" w:hAnsi="Calibri"/>
                <w:sz w:val="22"/>
              </w:rPr>
              <w:t>$1.887B</w:t>
            </w:r>
          </w:p>
        </w:tc>
        <w:tc>
          <w:tcPr>
            <w:tcW w:type="dxa" w:w="1234"/>
          </w:tcPr>
          <w:p>
            <w:r>
              <w:rPr>
                <w:rFonts w:ascii="Calibri" w:hAnsi="Calibri"/>
                <w:sz w:val="22"/>
              </w:rPr>
              <w:t>+45.7% YoY</w:t>
            </w:r>
          </w:p>
        </w:tc>
        <w:tc>
          <w:tcPr>
            <w:tcW w:type="dxa" w:w="1234"/>
          </w:tcPr>
          <w:p>
            <w:r>
              <w:rPr>
                <w:rFonts w:ascii="Calibri" w:hAnsi="Calibri"/>
                <w:sz w:val="22"/>
              </w:rPr>
              <w:t>Implied by EPS guidance</w:t>
            </w:r>
          </w:p>
        </w:tc>
        <w:tc>
          <w:tcPr>
            <w:tcW w:type="dxa" w:w="1234"/>
          </w:tcPr>
          <w:p>
            <w:r>
              <w:rPr>
                <w:rFonts w:ascii="Calibri" w:hAnsi="Calibri"/>
                <w:sz w:val="22"/>
              </w:rPr>
              <w:t>N/A (implied)</w:t>
            </w:r>
          </w:p>
        </w:tc>
      </w:tr>
      <w:tr>
        <w:tc>
          <w:tcPr>
            <w:tcW w:type="dxa" w:w="1234"/>
          </w:tcPr>
          <w:p>
            <w:r>
              <w:rPr>
                <w:rFonts w:ascii="Calibri" w:hAnsi="Calibri"/>
                <w:sz w:val="22"/>
              </w:rPr>
              <w:t>Capital Expenditures ($B)</w:t>
            </w:r>
          </w:p>
        </w:tc>
        <w:tc>
          <w:tcPr>
            <w:tcW w:type="dxa" w:w="1234"/>
          </w:tcPr>
          <w:p>
            <w:r>
              <w:rPr>
                <w:rFonts w:ascii="Calibri" w:hAnsi="Calibri"/>
                <w:sz w:val="22"/>
              </w:rPr>
              <w:t>$0.661B</w:t>
            </w:r>
          </w:p>
        </w:tc>
        <w:tc>
          <w:tcPr>
            <w:tcW w:type="dxa" w:w="1234"/>
          </w:tcPr>
          <w:p>
            <w:r>
              <w:rPr>
                <w:rFonts w:ascii="Calibri" w:hAnsi="Calibri"/>
                <w:sz w:val="22"/>
              </w:rPr>
              <w:t>$0.954B</w:t>
            </w:r>
          </w:p>
        </w:tc>
        <w:tc>
          <w:tcPr>
            <w:tcW w:type="dxa" w:w="1234"/>
          </w:tcPr>
          <w:p>
            <w:r>
              <w:rPr>
                <w:rFonts w:ascii="Calibri" w:hAnsi="Calibri"/>
                <w:sz w:val="22"/>
              </w:rPr>
              <w:t>$0.649B</w:t>
            </w:r>
          </w:p>
        </w:tc>
        <w:tc>
          <w:tcPr>
            <w:tcW w:type="dxa" w:w="1234"/>
          </w:tcPr>
          <w:p>
            <w:r>
              <w:rPr>
                <w:rFonts w:ascii="Calibri" w:hAnsi="Calibri"/>
                <w:sz w:val="22"/>
              </w:rPr>
              <w:t>−32.0% YoY</w:t>
            </w:r>
          </w:p>
        </w:tc>
        <w:tc>
          <w:tcPr>
            <w:tcW w:type="dxa" w:w="1234"/>
          </w:tcPr>
          <w:p>
            <w:r>
              <w:rPr>
                <w:rFonts w:ascii="Calibri" w:hAnsi="Calibri"/>
                <w:sz w:val="22"/>
              </w:rPr>
              <w:t>~$2.5B full-year (on track)</w:t>
            </w:r>
          </w:p>
        </w:tc>
        <w:tc>
          <w:tcPr>
            <w:tcW w:type="dxa" w:w="1234"/>
          </w:tcPr>
          <w:p>
            <w:r>
              <w:rPr>
                <w:rFonts w:ascii="Calibri" w:hAnsi="Calibri"/>
                <w:sz w:val="22"/>
              </w:rPr>
              <w:t>N/A</w:t>
            </w:r>
          </w:p>
        </w:tc>
      </w:tr>
      <w:tr>
        <w:tc>
          <w:tcPr>
            <w:tcW w:type="dxa" w:w="1234"/>
          </w:tcPr>
          <w:p>
            <w:r>
              <w:rPr>
                <w:rFonts w:ascii="Calibri" w:hAnsi="Calibri"/>
                <w:sz w:val="22"/>
              </w:rPr>
              <w:t>Free Cash Flow ($B)</w:t>
            </w:r>
          </w:p>
        </w:tc>
        <w:tc>
          <w:tcPr>
            <w:tcW w:type="dxa" w:w="1234"/>
          </w:tcPr>
          <w:p>
            <w:r>
              <w:rPr>
                <w:rFonts w:ascii="Calibri" w:hAnsi="Calibri"/>
                <w:sz w:val="22"/>
              </w:rPr>
              <w:t>$0.225B</w:t>
            </w:r>
          </w:p>
        </w:tc>
        <w:tc>
          <w:tcPr>
            <w:tcW w:type="dxa" w:w="1234"/>
          </w:tcPr>
          <w:p>
            <w:r>
              <w:rPr>
                <w:rFonts w:ascii="Calibri" w:hAnsi="Calibri"/>
                <w:sz w:val="22"/>
              </w:rPr>
              <w:t>−$0.222B</w:t>
            </w:r>
          </w:p>
        </w:tc>
        <w:tc>
          <w:tcPr>
            <w:tcW w:type="dxa" w:w="1234"/>
          </w:tcPr>
          <w:p>
            <w:r>
              <w:rPr>
                <w:rFonts w:ascii="Calibri" w:hAnsi="Calibri"/>
                <w:sz w:val="22"/>
              </w:rPr>
              <w:t>$0.648B</w:t>
            </w:r>
          </w:p>
        </w:tc>
        <w:tc>
          <w:tcPr>
            <w:tcW w:type="dxa" w:w="1234"/>
          </w:tcPr>
          <w:p>
            <w:r>
              <w:rPr>
                <w:rFonts w:ascii="Calibri" w:hAnsi="Calibri"/>
                <w:sz w:val="22"/>
              </w:rPr>
              <w:t>N/M (prior year negative)</w:t>
            </w:r>
          </w:p>
        </w:tc>
        <w:tc>
          <w:tcPr>
            <w:tcW w:type="dxa" w:w="1234"/>
          </w:tcPr>
          <w:p>
            <w:r>
              <w:rPr>
                <w:rFonts w:ascii="Calibri" w:hAnsi="Calibri"/>
                <w:sz w:val="22"/>
              </w:rPr>
              <w:t>Not guided</w:t>
            </w:r>
          </w:p>
        </w:tc>
        <w:tc>
          <w:tcPr>
            <w:tcW w:type="dxa" w:w="1234"/>
          </w:tcPr>
          <w:p>
            <w:r>
              <w:rPr>
                <w:rFonts w:ascii="Calibri" w:hAnsi="Calibri"/>
                <w:sz w:val="22"/>
              </w:rPr>
              <w:t>N/A</w:t>
            </w:r>
          </w:p>
        </w:tc>
      </w:tr>
    </w:tbl>
    <w:p>
      <w:r>
        <w:rPr>
          <w:rFonts w:ascii="Calibri" w:hAnsi="Calibri"/>
          <w:i/>
          <w:color w:val="525866"/>
          <w:sz w:val="22"/>
        </w:rPr>
        <w:t>Sources: Visible Alpha Consensus and Actuals Data (EPS — Diluted — Operating, Total Revenue, Steel Mills Shipments, Steel Mills ASP, Steel Products Shipments, EBITDA, Capital Expenditures, Free Cash Flow); NUE June 17, 2026 Q2 2026 Earnings Guidance Press Release; NUE Q1 2026 Earnings Release (April 27, 2026); NUE Q1 2026 Earnings Call Transcript (April 28, 2026).</w:t>
      </w:r>
    </w:p>
    <w:p>
      <w:pPr>
        <w:pStyle w:val="Heading3"/>
      </w:pPr>
      <w:r>
        <w:rPr>
          <w:rFonts w:ascii="Calibri" w:hAnsi="Calibri"/>
          <w:b/>
          <w:color w:val="3B4259"/>
          <w:sz w:val="24"/>
        </w:rPr>
        <w:t>Table 2 — Beat/Miss History: Last 8 Quarters (Top 2 KPIs: EPS — Diluted Operating &amp; Steel Mills Shipments)</w:t>
      </w:r>
    </w:p>
    <w:tbl>
      <w:tblPr>
        <w:tblStyle w:val="TableGrid"/>
        <w:tblW w:type="auto" w:w="0"/>
        <w:tblLook w:firstColumn="1" w:firstRow="1" w:lastColumn="0" w:lastRow="0" w:noHBand="0" w:noVBand="1" w:val="04A0"/>
      </w:tblPr>
      <w:tblGrid>
        <w:gridCol w:w="1440"/>
        <w:gridCol w:w="1440"/>
        <w:gridCol w:w="1440"/>
        <w:gridCol w:w="1440"/>
        <w:gridCol w:w="1440"/>
        <w:gridCol w:w="1440"/>
      </w:tblGrid>
      <w:tr>
        <w:tc>
          <w:tcPr>
            <w:tcW w:type="dxa" w:w="1440"/>
            <w:shd w:val="clear" w:color="auto" w:fill="3B4259"/>
          </w:tcPr>
          <w:p>
            <w:r>
              <w:rPr>
                <w:rFonts w:ascii="Calibri" w:hAnsi="Calibri"/>
                <w:b/>
                <w:color w:val="FFFFFF"/>
                <w:sz w:val="22"/>
              </w:rPr>
              <w:t>Quarter</w:t>
            </w:r>
          </w:p>
        </w:tc>
        <w:tc>
          <w:tcPr>
            <w:tcW w:type="dxa" w:w="1440"/>
            <w:shd w:val="clear" w:color="auto" w:fill="3B4259"/>
          </w:tcPr>
          <w:p>
            <w:r>
              <w:rPr>
                <w:rFonts w:ascii="Calibri" w:hAnsi="Calibri"/>
                <w:b/>
                <w:color w:val="FFFFFF"/>
                <w:sz w:val="22"/>
              </w:rPr>
              <w:t>KPI</w:t>
            </w:r>
          </w:p>
        </w:tc>
        <w:tc>
          <w:tcPr>
            <w:tcW w:type="dxa" w:w="1440"/>
            <w:shd w:val="clear" w:color="auto" w:fill="3B4259"/>
          </w:tcPr>
          <w:p>
            <w:r>
              <w:rPr>
                <w:rFonts w:ascii="Calibri" w:hAnsi="Calibri"/>
                <w:b/>
                <w:color w:val="FFFFFF"/>
                <w:sz w:val="22"/>
              </w:rPr>
              <w:t>Reported</w:t>
            </w:r>
          </w:p>
        </w:tc>
        <w:tc>
          <w:tcPr>
            <w:tcW w:type="dxa" w:w="1440"/>
            <w:shd w:val="clear" w:color="auto" w:fill="3B4259"/>
          </w:tcPr>
          <w:p>
            <w:r>
              <w:rPr>
                <w:rFonts w:ascii="Calibri" w:hAnsi="Calibri"/>
                <w:b/>
                <w:color w:val="FFFFFF"/>
                <w:sz w:val="22"/>
              </w:rPr>
              <w:t>Consensus Est.</w:t>
            </w:r>
          </w:p>
        </w:tc>
        <w:tc>
          <w:tcPr>
            <w:tcW w:type="dxa" w:w="1440"/>
            <w:shd w:val="clear" w:color="auto" w:fill="3B4259"/>
          </w:tcPr>
          <w:p>
            <w:r>
              <w:rPr>
                <w:rFonts w:ascii="Calibri" w:hAnsi="Calibri"/>
                <w:b/>
                <w:color w:val="FFFFFF"/>
                <w:sz w:val="22"/>
              </w:rPr>
              <w:t>Surprise %</w:t>
            </w:r>
          </w:p>
        </w:tc>
        <w:tc>
          <w:tcPr>
            <w:tcW w:type="dxa" w:w="1440"/>
            <w:shd w:val="clear" w:color="auto" w:fill="3B4259"/>
          </w:tcPr>
          <w:p>
            <w:r>
              <w:rPr>
                <w:rFonts w:ascii="Calibri" w:hAnsi="Calibri"/>
                <w:b/>
                <w:color w:val="FFFFFF"/>
                <w:sz w:val="22"/>
              </w:rPr>
              <w:t>Result</w:t>
            </w:r>
          </w:p>
        </w:tc>
      </w:tr>
      <w:tr>
        <w:tc>
          <w:tcPr>
            <w:tcW w:type="dxa" w:w="1440"/>
          </w:tcPr>
          <w:p>
            <w:r>
              <w:rPr>
                <w:rFonts w:ascii="Calibri" w:hAnsi="Calibri"/>
                <w:sz w:val="22"/>
              </w:rPr>
              <w:t>Q1 2026</w:t>
            </w:r>
          </w:p>
        </w:tc>
        <w:tc>
          <w:tcPr>
            <w:tcW w:type="dxa" w:w="1440"/>
          </w:tcPr>
          <w:p>
            <w:r>
              <w:rPr>
                <w:rFonts w:ascii="Calibri" w:hAnsi="Calibri"/>
                <w:sz w:val="22"/>
              </w:rPr>
              <w:t>EPS — Diluted Operating ($)</w:t>
            </w:r>
          </w:p>
        </w:tc>
        <w:tc>
          <w:tcPr>
            <w:tcW w:type="dxa" w:w="1440"/>
          </w:tcPr>
          <w:p>
            <w:r>
              <w:rPr>
                <w:rFonts w:ascii="Calibri" w:hAnsi="Calibri"/>
                <w:sz w:val="22"/>
              </w:rPr>
              <w:t>3.23</w:t>
            </w:r>
          </w:p>
        </w:tc>
        <w:tc>
          <w:tcPr>
            <w:tcW w:type="dxa" w:w="1440"/>
          </w:tcPr>
          <w:p>
            <w:r>
              <w:rPr>
                <w:rFonts w:ascii="Calibri" w:hAnsi="Calibri"/>
                <w:sz w:val="22"/>
              </w:rPr>
              <w:t>2.78</w:t>
            </w:r>
          </w:p>
        </w:tc>
        <w:tc>
          <w:tcPr>
            <w:tcW w:type="dxa" w:w="1440"/>
          </w:tcPr>
          <w:p>
            <w:r>
              <w:rPr>
                <w:rFonts w:ascii="Calibri" w:hAnsi="Calibri"/>
                <w:b/>
                <w:color w:val="30A46C"/>
                <w:sz w:val="22"/>
              </w:rPr>
              <w:t>+16.2%</w:t>
            </w:r>
          </w:p>
        </w:tc>
        <w:tc>
          <w:tcPr>
            <w:tcW w:type="dxa" w:w="1440"/>
          </w:tcPr>
          <w:p>
            <w:r>
              <w:rPr>
                <w:rFonts w:ascii="Calibri" w:hAnsi="Calibri"/>
                <w:sz w:val="22"/>
              </w:rPr>
              <w:t>BEAT</w:t>
            </w:r>
          </w:p>
        </w:tc>
      </w:tr>
      <w:tr>
        <w:tc>
          <w:tcPr>
            <w:tcW w:type="dxa" w:w="1440"/>
          </w:tcPr>
          <w:p>
            <w:r>
              <w:rPr>
                <w:rFonts w:ascii="Calibri" w:hAnsi="Calibri"/>
                <w:sz w:val="22"/>
              </w:rPr>
              <w:t>Q1 2026</w:t>
            </w:r>
          </w:p>
        </w:tc>
        <w:tc>
          <w:tcPr>
            <w:tcW w:type="dxa" w:w="1440"/>
          </w:tcPr>
          <w:p>
            <w:r>
              <w:rPr>
                <w:rFonts w:ascii="Calibri" w:hAnsi="Calibri"/>
                <w:sz w:val="22"/>
              </w:rPr>
              <w:t>Steel Mills Shipments (M tons)</w:t>
            </w:r>
          </w:p>
        </w:tc>
        <w:tc>
          <w:tcPr>
            <w:tcW w:type="dxa" w:w="1440"/>
          </w:tcPr>
          <w:p>
            <w:r>
              <w:rPr>
                <w:rFonts w:ascii="Calibri" w:hAnsi="Calibri"/>
                <w:sz w:val="22"/>
              </w:rPr>
              <w:t>5.619M</w:t>
            </w:r>
          </w:p>
        </w:tc>
        <w:tc>
          <w:tcPr>
            <w:tcW w:type="dxa" w:w="1440"/>
          </w:tcPr>
          <w:p>
            <w:r>
              <w:rPr>
                <w:rFonts w:ascii="Calibri" w:hAnsi="Calibri"/>
                <w:sz w:val="22"/>
              </w:rPr>
              <w:t>5.223M</w:t>
            </w:r>
          </w:p>
        </w:tc>
        <w:tc>
          <w:tcPr>
            <w:tcW w:type="dxa" w:w="1440"/>
          </w:tcPr>
          <w:p>
            <w:r>
              <w:rPr>
                <w:rFonts w:ascii="Calibri" w:hAnsi="Calibri"/>
                <w:b/>
                <w:color w:val="30A46C"/>
                <w:sz w:val="22"/>
              </w:rPr>
              <w:t>+7.6%</w:t>
            </w:r>
          </w:p>
        </w:tc>
        <w:tc>
          <w:tcPr>
            <w:tcW w:type="dxa" w:w="1440"/>
          </w:tcPr>
          <w:p>
            <w:r>
              <w:rPr>
                <w:rFonts w:ascii="Calibri" w:hAnsi="Calibri"/>
                <w:sz w:val="22"/>
              </w:rPr>
              <w:t>BEAT</w:t>
            </w:r>
          </w:p>
        </w:tc>
      </w:tr>
      <w:tr>
        <w:tc>
          <w:tcPr>
            <w:tcW w:type="dxa" w:w="1440"/>
          </w:tcPr>
          <w:p>
            <w:r>
              <w:rPr>
                <w:rFonts w:ascii="Calibri" w:hAnsi="Calibri"/>
                <w:sz w:val="22"/>
              </w:rPr>
              <w:t>Q4 2025</w:t>
            </w:r>
          </w:p>
        </w:tc>
        <w:tc>
          <w:tcPr>
            <w:tcW w:type="dxa" w:w="1440"/>
          </w:tcPr>
          <w:p>
            <w:r>
              <w:rPr>
                <w:rFonts w:ascii="Calibri" w:hAnsi="Calibri"/>
                <w:sz w:val="22"/>
              </w:rPr>
              <w:t>EPS — Diluted Operating ($)</w:t>
            </w:r>
          </w:p>
        </w:tc>
        <w:tc>
          <w:tcPr>
            <w:tcW w:type="dxa" w:w="1440"/>
          </w:tcPr>
          <w:p>
            <w:r>
              <w:rPr>
                <w:rFonts w:ascii="Calibri" w:hAnsi="Calibri"/>
                <w:sz w:val="22"/>
              </w:rPr>
              <w:t>1.73</w:t>
            </w:r>
          </w:p>
        </w:tc>
        <w:tc>
          <w:tcPr>
            <w:tcW w:type="dxa" w:w="1440"/>
          </w:tcPr>
          <w:p>
            <w:r>
              <w:rPr>
                <w:rFonts w:ascii="Calibri" w:hAnsi="Calibri"/>
                <w:sz w:val="22"/>
              </w:rPr>
              <w:t>1.88</w:t>
            </w:r>
          </w:p>
        </w:tc>
        <w:tc>
          <w:tcPr>
            <w:tcW w:type="dxa" w:w="1440"/>
          </w:tcPr>
          <w:p>
            <w:r>
              <w:rPr>
                <w:rFonts w:ascii="Calibri" w:hAnsi="Calibri"/>
                <w:b/>
                <w:color w:val="E5484D"/>
                <w:sz w:val="22"/>
              </w:rPr>
              <w:t>−8.0%</w:t>
            </w:r>
          </w:p>
        </w:tc>
        <w:tc>
          <w:tcPr>
            <w:tcW w:type="dxa" w:w="1440"/>
          </w:tcPr>
          <w:p>
            <w:r>
              <w:rPr>
                <w:rFonts w:ascii="Calibri" w:hAnsi="Calibri"/>
                <w:sz w:val="22"/>
              </w:rPr>
              <w:t>MISS</w:t>
            </w:r>
          </w:p>
        </w:tc>
      </w:tr>
      <w:tr>
        <w:tc>
          <w:tcPr>
            <w:tcW w:type="dxa" w:w="1440"/>
          </w:tcPr>
          <w:p>
            <w:r>
              <w:rPr>
                <w:rFonts w:ascii="Calibri" w:hAnsi="Calibri"/>
                <w:sz w:val="22"/>
              </w:rPr>
              <w:t>Q4 2025</w:t>
            </w:r>
          </w:p>
        </w:tc>
        <w:tc>
          <w:tcPr>
            <w:tcW w:type="dxa" w:w="1440"/>
          </w:tcPr>
          <w:p>
            <w:r>
              <w:rPr>
                <w:rFonts w:ascii="Calibri" w:hAnsi="Calibri"/>
                <w:sz w:val="22"/>
              </w:rPr>
              <w:t>Steel Mills Shipments (M tons)</w:t>
            </w:r>
          </w:p>
        </w:tc>
        <w:tc>
          <w:tcPr>
            <w:tcW w:type="dxa" w:w="1440"/>
          </w:tcPr>
          <w:p>
            <w:r>
              <w:rPr>
                <w:rFonts w:ascii="Calibri" w:hAnsi="Calibri"/>
                <w:sz w:val="22"/>
              </w:rPr>
              <w:t>4.602M</w:t>
            </w:r>
          </w:p>
        </w:tc>
        <w:tc>
          <w:tcPr>
            <w:tcW w:type="dxa" w:w="1440"/>
          </w:tcPr>
          <w:p>
            <w:r>
              <w:rPr>
                <w:rFonts w:ascii="Calibri" w:hAnsi="Calibri"/>
                <w:sz w:val="22"/>
              </w:rPr>
              <w:t>4.758M</w:t>
            </w:r>
          </w:p>
        </w:tc>
        <w:tc>
          <w:tcPr>
            <w:tcW w:type="dxa" w:w="1440"/>
          </w:tcPr>
          <w:p>
            <w:r>
              <w:rPr>
                <w:rFonts w:ascii="Calibri" w:hAnsi="Calibri"/>
                <w:b/>
                <w:color w:val="E5484D"/>
                <w:sz w:val="22"/>
              </w:rPr>
              <w:t>−3.3%</w:t>
            </w:r>
          </w:p>
        </w:tc>
        <w:tc>
          <w:tcPr>
            <w:tcW w:type="dxa" w:w="1440"/>
          </w:tcPr>
          <w:p>
            <w:r>
              <w:rPr>
                <w:rFonts w:ascii="Calibri" w:hAnsi="Calibri"/>
                <w:sz w:val="22"/>
              </w:rPr>
              <w:t>MISS</w:t>
            </w:r>
          </w:p>
        </w:tc>
      </w:tr>
      <w:tr>
        <w:tc>
          <w:tcPr>
            <w:tcW w:type="dxa" w:w="1440"/>
          </w:tcPr>
          <w:p>
            <w:r>
              <w:rPr>
                <w:rFonts w:ascii="Calibri" w:hAnsi="Calibri"/>
                <w:sz w:val="22"/>
              </w:rPr>
              <w:t>Q3 2025</w:t>
            </w:r>
          </w:p>
        </w:tc>
        <w:tc>
          <w:tcPr>
            <w:tcW w:type="dxa" w:w="1440"/>
          </w:tcPr>
          <w:p>
            <w:r>
              <w:rPr>
                <w:rFonts w:ascii="Calibri" w:hAnsi="Calibri"/>
                <w:sz w:val="22"/>
              </w:rPr>
              <w:t>EPS — Diluted Operating ($)</w:t>
            </w:r>
          </w:p>
        </w:tc>
        <w:tc>
          <w:tcPr>
            <w:tcW w:type="dxa" w:w="1440"/>
          </w:tcPr>
          <w:p>
            <w:r>
              <w:rPr>
                <w:rFonts w:ascii="Calibri" w:hAnsi="Calibri"/>
                <w:sz w:val="22"/>
              </w:rPr>
              <w:t>2.64</w:t>
            </w:r>
          </w:p>
        </w:tc>
        <w:tc>
          <w:tcPr>
            <w:tcW w:type="dxa" w:w="1440"/>
          </w:tcPr>
          <w:p>
            <w:r>
              <w:rPr>
                <w:rFonts w:ascii="Calibri" w:hAnsi="Calibri"/>
                <w:sz w:val="22"/>
              </w:rPr>
              <w:t>2.16</w:t>
            </w:r>
          </w:p>
        </w:tc>
        <w:tc>
          <w:tcPr>
            <w:tcW w:type="dxa" w:w="1440"/>
          </w:tcPr>
          <w:p>
            <w:r>
              <w:rPr>
                <w:rFonts w:ascii="Calibri" w:hAnsi="Calibri"/>
                <w:b/>
                <w:color w:val="30A46C"/>
                <w:sz w:val="22"/>
              </w:rPr>
              <w:t>+22.2%</w:t>
            </w:r>
          </w:p>
        </w:tc>
        <w:tc>
          <w:tcPr>
            <w:tcW w:type="dxa" w:w="1440"/>
          </w:tcPr>
          <w:p>
            <w:r>
              <w:rPr>
                <w:rFonts w:ascii="Calibri" w:hAnsi="Calibri"/>
                <w:sz w:val="22"/>
              </w:rPr>
              <w:t>BEAT</w:t>
            </w:r>
          </w:p>
        </w:tc>
      </w:tr>
      <w:tr>
        <w:tc>
          <w:tcPr>
            <w:tcW w:type="dxa" w:w="1440"/>
          </w:tcPr>
          <w:p>
            <w:r>
              <w:rPr>
                <w:rFonts w:ascii="Calibri" w:hAnsi="Calibri"/>
                <w:sz w:val="22"/>
              </w:rPr>
              <w:t>Q3 2025</w:t>
            </w:r>
          </w:p>
        </w:tc>
        <w:tc>
          <w:tcPr>
            <w:tcW w:type="dxa" w:w="1440"/>
          </w:tcPr>
          <w:p>
            <w:r>
              <w:rPr>
                <w:rFonts w:ascii="Calibri" w:hAnsi="Calibri"/>
                <w:sz w:val="22"/>
              </w:rPr>
              <w:t>Steel Mills Shipments (M tons)</w:t>
            </w:r>
          </w:p>
        </w:tc>
        <w:tc>
          <w:tcPr>
            <w:tcW w:type="dxa" w:w="1440"/>
          </w:tcPr>
          <w:p>
            <w:r>
              <w:rPr>
                <w:rFonts w:ascii="Calibri" w:hAnsi="Calibri"/>
                <w:sz w:val="22"/>
              </w:rPr>
              <w:t>4.976M</w:t>
            </w:r>
          </w:p>
        </w:tc>
        <w:tc>
          <w:tcPr>
            <w:tcW w:type="dxa" w:w="1440"/>
          </w:tcPr>
          <w:p>
            <w:r>
              <w:rPr>
                <w:rFonts w:ascii="Calibri" w:hAnsi="Calibri"/>
                <w:sz w:val="22"/>
              </w:rPr>
              <w:t>4.919M</w:t>
            </w:r>
          </w:p>
        </w:tc>
        <w:tc>
          <w:tcPr>
            <w:tcW w:type="dxa" w:w="1440"/>
          </w:tcPr>
          <w:p>
            <w:r>
              <w:rPr>
                <w:rFonts w:ascii="Calibri" w:hAnsi="Calibri"/>
                <w:b/>
                <w:color w:val="30A46C"/>
                <w:sz w:val="22"/>
              </w:rPr>
              <w:t>+1.2%</w:t>
            </w:r>
          </w:p>
        </w:tc>
        <w:tc>
          <w:tcPr>
            <w:tcW w:type="dxa" w:w="1440"/>
          </w:tcPr>
          <w:p>
            <w:r>
              <w:rPr>
                <w:rFonts w:ascii="Calibri" w:hAnsi="Calibri"/>
                <w:sz w:val="22"/>
              </w:rPr>
              <w:t>BEAT</w:t>
            </w:r>
          </w:p>
        </w:tc>
      </w:tr>
      <w:tr>
        <w:tc>
          <w:tcPr>
            <w:tcW w:type="dxa" w:w="1440"/>
          </w:tcPr>
          <w:p>
            <w:r>
              <w:rPr>
                <w:rFonts w:ascii="Calibri" w:hAnsi="Calibri"/>
                <w:sz w:val="22"/>
              </w:rPr>
              <w:t>Q2 2025</w:t>
            </w:r>
          </w:p>
        </w:tc>
        <w:tc>
          <w:tcPr>
            <w:tcW w:type="dxa" w:w="1440"/>
          </w:tcPr>
          <w:p>
            <w:r>
              <w:rPr>
                <w:rFonts w:ascii="Calibri" w:hAnsi="Calibri"/>
                <w:sz w:val="22"/>
              </w:rPr>
              <w:t>EPS — Diluted Operating ($)</w:t>
            </w:r>
          </w:p>
        </w:tc>
        <w:tc>
          <w:tcPr>
            <w:tcW w:type="dxa" w:w="1440"/>
          </w:tcPr>
          <w:p>
            <w:r>
              <w:rPr>
                <w:rFonts w:ascii="Calibri" w:hAnsi="Calibri"/>
                <w:sz w:val="22"/>
              </w:rPr>
              <w:t>2.60</w:t>
            </w:r>
          </w:p>
        </w:tc>
        <w:tc>
          <w:tcPr>
            <w:tcW w:type="dxa" w:w="1440"/>
          </w:tcPr>
          <w:p>
            <w:r>
              <w:rPr>
                <w:rFonts w:ascii="Calibri" w:hAnsi="Calibri"/>
                <w:sz w:val="22"/>
              </w:rPr>
              <w:t>2.50</w:t>
            </w:r>
          </w:p>
        </w:tc>
        <w:tc>
          <w:tcPr>
            <w:tcW w:type="dxa" w:w="1440"/>
          </w:tcPr>
          <w:p>
            <w:r>
              <w:rPr>
                <w:rFonts w:ascii="Calibri" w:hAnsi="Calibri"/>
                <w:b/>
                <w:color w:val="30A46C"/>
                <w:sz w:val="22"/>
              </w:rPr>
              <w:t>+4.1%</w:t>
            </w:r>
          </w:p>
        </w:tc>
        <w:tc>
          <w:tcPr>
            <w:tcW w:type="dxa" w:w="1440"/>
          </w:tcPr>
          <w:p>
            <w:r>
              <w:rPr>
                <w:rFonts w:ascii="Calibri" w:hAnsi="Calibri"/>
                <w:sz w:val="22"/>
              </w:rPr>
              <w:t>BEAT</w:t>
            </w:r>
          </w:p>
        </w:tc>
      </w:tr>
      <w:tr>
        <w:tc>
          <w:tcPr>
            <w:tcW w:type="dxa" w:w="1440"/>
          </w:tcPr>
          <w:p>
            <w:r>
              <w:rPr>
                <w:rFonts w:ascii="Calibri" w:hAnsi="Calibri"/>
                <w:sz w:val="22"/>
              </w:rPr>
              <w:t>Q2 2025</w:t>
            </w:r>
          </w:p>
        </w:tc>
        <w:tc>
          <w:tcPr>
            <w:tcW w:type="dxa" w:w="1440"/>
          </w:tcPr>
          <w:p>
            <w:r>
              <w:rPr>
                <w:rFonts w:ascii="Calibri" w:hAnsi="Calibri"/>
                <w:sz w:val="22"/>
              </w:rPr>
              <w:t>Steel Mills Shipments (M tons)</w:t>
            </w:r>
          </w:p>
        </w:tc>
        <w:tc>
          <w:tcPr>
            <w:tcW w:type="dxa" w:w="1440"/>
          </w:tcPr>
          <w:p>
            <w:r>
              <w:rPr>
                <w:rFonts w:ascii="Calibri" w:hAnsi="Calibri"/>
                <w:sz w:val="22"/>
              </w:rPr>
              <w:t>5.044M</w:t>
            </w:r>
          </w:p>
        </w:tc>
        <w:tc>
          <w:tcPr>
            <w:tcW w:type="dxa" w:w="1440"/>
          </w:tcPr>
          <w:p>
            <w:r>
              <w:rPr>
                <w:rFonts w:ascii="Calibri" w:hAnsi="Calibri"/>
                <w:sz w:val="22"/>
              </w:rPr>
              <w:t>5.247M</w:t>
            </w:r>
          </w:p>
        </w:tc>
        <w:tc>
          <w:tcPr>
            <w:tcW w:type="dxa" w:w="1440"/>
          </w:tcPr>
          <w:p>
            <w:r>
              <w:rPr>
                <w:rFonts w:ascii="Calibri" w:hAnsi="Calibri"/>
                <w:b/>
                <w:color w:val="E5484D"/>
                <w:sz w:val="22"/>
              </w:rPr>
              <w:t>−3.9%</w:t>
            </w:r>
          </w:p>
        </w:tc>
        <w:tc>
          <w:tcPr>
            <w:tcW w:type="dxa" w:w="1440"/>
          </w:tcPr>
          <w:p>
            <w:r>
              <w:rPr>
                <w:rFonts w:ascii="Calibri" w:hAnsi="Calibri"/>
                <w:sz w:val="22"/>
              </w:rPr>
              <w:t>MISS</w:t>
            </w:r>
          </w:p>
        </w:tc>
      </w:tr>
      <w:tr>
        <w:tc>
          <w:tcPr>
            <w:tcW w:type="dxa" w:w="1440"/>
          </w:tcPr>
          <w:p>
            <w:r>
              <w:rPr>
                <w:rFonts w:ascii="Calibri" w:hAnsi="Calibri"/>
                <w:sz w:val="22"/>
              </w:rPr>
              <w:t>Q1 2025</w:t>
            </w:r>
          </w:p>
        </w:tc>
        <w:tc>
          <w:tcPr>
            <w:tcW w:type="dxa" w:w="1440"/>
          </w:tcPr>
          <w:p>
            <w:r>
              <w:rPr>
                <w:rFonts w:ascii="Calibri" w:hAnsi="Calibri"/>
                <w:sz w:val="22"/>
              </w:rPr>
              <w:t>EPS — Diluted Operating ($)</w:t>
            </w:r>
          </w:p>
        </w:tc>
        <w:tc>
          <w:tcPr>
            <w:tcW w:type="dxa" w:w="1440"/>
          </w:tcPr>
          <w:p>
            <w:r>
              <w:rPr>
                <w:rFonts w:ascii="Calibri" w:hAnsi="Calibri"/>
                <w:sz w:val="22"/>
              </w:rPr>
              <w:t>0.77</w:t>
            </w:r>
          </w:p>
        </w:tc>
        <w:tc>
          <w:tcPr>
            <w:tcW w:type="dxa" w:w="1440"/>
          </w:tcPr>
          <w:p>
            <w:r>
              <w:rPr>
                <w:rFonts w:ascii="Calibri" w:hAnsi="Calibri"/>
                <w:sz w:val="22"/>
              </w:rPr>
              <w:t>0.68</w:t>
            </w:r>
          </w:p>
        </w:tc>
        <w:tc>
          <w:tcPr>
            <w:tcW w:type="dxa" w:w="1440"/>
          </w:tcPr>
          <w:p>
            <w:r>
              <w:rPr>
                <w:rFonts w:ascii="Calibri" w:hAnsi="Calibri"/>
                <w:b/>
                <w:color w:val="30A46C"/>
                <w:sz w:val="22"/>
              </w:rPr>
              <w:t>+13.6%</w:t>
            </w:r>
          </w:p>
        </w:tc>
        <w:tc>
          <w:tcPr>
            <w:tcW w:type="dxa" w:w="1440"/>
          </w:tcPr>
          <w:p>
            <w:r>
              <w:rPr>
                <w:rFonts w:ascii="Calibri" w:hAnsi="Calibri"/>
                <w:sz w:val="22"/>
              </w:rPr>
              <w:t>BEAT</w:t>
            </w:r>
          </w:p>
        </w:tc>
      </w:tr>
      <w:tr>
        <w:tc>
          <w:tcPr>
            <w:tcW w:type="dxa" w:w="1440"/>
          </w:tcPr>
          <w:p>
            <w:r>
              <w:rPr>
                <w:rFonts w:ascii="Calibri" w:hAnsi="Calibri"/>
                <w:sz w:val="22"/>
              </w:rPr>
              <w:t>Q1 2025</w:t>
            </w:r>
          </w:p>
        </w:tc>
        <w:tc>
          <w:tcPr>
            <w:tcW w:type="dxa" w:w="1440"/>
          </w:tcPr>
          <w:p>
            <w:r>
              <w:rPr>
                <w:rFonts w:ascii="Calibri" w:hAnsi="Calibri"/>
                <w:sz w:val="22"/>
              </w:rPr>
              <w:t>Steel Mills Shipments (M tons)</w:t>
            </w:r>
          </w:p>
        </w:tc>
        <w:tc>
          <w:tcPr>
            <w:tcW w:type="dxa" w:w="1440"/>
          </w:tcPr>
          <w:p>
            <w:r>
              <w:rPr>
                <w:rFonts w:ascii="Calibri" w:hAnsi="Calibri"/>
                <w:sz w:val="22"/>
              </w:rPr>
              <w:t>5.226M</w:t>
            </w:r>
          </w:p>
        </w:tc>
        <w:tc>
          <w:tcPr>
            <w:tcW w:type="dxa" w:w="1440"/>
          </w:tcPr>
          <w:p>
            <w:r>
              <w:rPr>
                <w:rFonts w:ascii="Calibri" w:hAnsi="Calibri"/>
                <w:sz w:val="22"/>
              </w:rPr>
              <w:t>4.807M</w:t>
            </w:r>
          </w:p>
        </w:tc>
        <w:tc>
          <w:tcPr>
            <w:tcW w:type="dxa" w:w="1440"/>
          </w:tcPr>
          <w:p>
            <w:r>
              <w:rPr>
                <w:rFonts w:ascii="Calibri" w:hAnsi="Calibri"/>
                <w:b/>
                <w:color w:val="30A46C"/>
                <w:sz w:val="22"/>
              </w:rPr>
              <w:t>+8.7%</w:t>
            </w:r>
          </w:p>
        </w:tc>
        <w:tc>
          <w:tcPr>
            <w:tcW w:type="dxa" w:w="1440"/>
          </w:tcPr>
          <w:p>
            <w:r>
              <w:rPr>
                <w:rFonts w:ascii="Calibri" w:hAnsi="Calibri"/>
                <w:sz w:val="22"/>
              </w:rPr>
              <w:t>BEAT</w:t>
            </w:r>
          </w:p>
        </w:tc>
      </w:tr>
      <w:tr>
        <w:tc>
          <w:tcPr>
            <w:tcW w:type="dxa" w:w="1440"/>
          </w:tcPr>
          <w:p>
            <w:r>
              <w:rPr>
                <w:rFonts w:ascii="Calibri" w:hAnsi="Calibri"/>
                <w:sz w:val="22"/>
              </w:rPr>
              <w:t>Q4 2024</w:t>
            </w:r>
          </w:p>
        </w:tc>
        <w:tc>
          <w:tcPr>
            <w:tcW w:type="dxa" w:w="1440"/>
          </w:tcPr>
          <w:p>
            <w:r>
              <w:rPr>
                <w:rFonts w:ascii="Calibri" w:hAnsi="Calibri"/>
                <w:sz w:val="22"/>
              </w:rPr>
              <w:t>EPS — Diluted Operating ($)</w:t>
            </w:r>
          </w:p>
        </w:tc>
        <w:tc>
          <w:tcPr>
            <w:tcW w:type="dxa" w:w="1440"/>
          </w:tcPr>
          <w:p>
            <w:r>
              <w:rPr>
                <w:rFonts w:ascii="Calibri" w:hAnsi="Calibri"/>
                <w:sz w:val="22"/>
              </w:rPr>
              <w:t>1.22</w:t>
            </w:r>
          </w:p>
        </w:tc>
        <w:tc>
          <w:tcPr>
            <w:tcW w:type="dxa" w:w="1440"/>
          </w:tcPr>
          <w:p>
            <w:r>
              <w:rPr>
                <w:rFonts w:ascii="Calibri" w:hAnsi="Calibri"/>
                <w:sz w:val="22"/>
              </w:rPr>
              <w:t>0.68</w:t>
            </w:r>
          </w:p>
        </w:tc>
        <w:tc>
          <w:tcPr>
            <w:tcW w:type="dxa" w:w="1440"/>
          </w:tcPr>
          <w:p>
            <w:r>
              <w:rPr>
                <w:rFonts w:ascii="Calibri" w:hAnsi="Calibri"/>
                <w:b/>
                <w:color w:val="30A46C"/>
                <w:sz w:val="22"/>
              </w:rPr>
              <w:t>+78.7%</w:t>
            </w:r>
          </w:p>
        </w:tc>
        <w:tc>
          <w:tcPr>
            <w:tcW w:type="dxa" w:w="1440"/>
          </w:tcPr>
          <w:p>
            <w:r>
              <w:rPr>
                <w:rFonts w:ascii="Calibri" w:hAnsi="Calibri"/>
                <w:sz w:val="22"/>
              </w:rPr>
              <w:t>BEAT</w:t>
            </w:r>
          </w:p>
        </w:tc>
      </w:tr>
      <w:tr>
        <w:tc>
          <w:tcPr>
            <w:tcW w:type="dxa" w:w="1440"/>
          </w:tcPr>
          <w:p>
            <w:r>
              <w:rPr>
                <w:rFonts w:ascii="Calibri" w:hAnsi="Calibri"/>
                <w:sz w:val="22"/>
              </w:rPr>
              <w:t>Q4 2024</w:t>
            </w:r>
          </w:p>
        </w:tc>
        <w:tc>
          <w:tcPr>
            <w:tcW w:type="dxa" w:w="1440"/>
          </w:tcPr>
          <w:p>
            <w:r>
              <w:rPr>
                <w:rFonts w:ascii="Calibri" w:hAnsi="Calibri"/>
                <w:sz w:val="22"/>
              </w:rPr>
              <w:t>Steel Mills Shipments (M tons)</w:t>
            </w:r>
          </w:p>
        </w:tc>
        <w:tc>
          <w:tcPr>
            <w:tcW w:type="dxa" w:w="1440"/>
          </w:tcPr>
          <w:p>
            <w:r>
              <w:rPr>
                <w:rFonts w:ascii="Calibri" w:hAnsi="Calibri"/>
                <w:sz w:val="22"/>
              </w:rPr>
              <w:t>4.580M</w:t>
            </w:r>
          </w:p>
        </w:tc>
        <w:tc>
          <w:tcPr>
            <w:tcW w:type="dxa" w:w="1440"/>
          </w:tcPr>
          <w:p>
            <w:r>
              <w:rPr>
                <w:rFonts w:ascii="Calibri" w:hAnsi="Calibri"/>
                <w:sz w:val="22"/>
              </w:rPr>
              <w:t>4.445M</w:t>
            </w:r>
          </w:p>
        </w:tc>
        <w:tc>
          <w:tcPr>
            <w:tcW w:type="dxa" w:w="1440"/>
          </w:tcPr>
          <w:p>
            <w:r>
              <w:rPr>
                <w:rFonts w:ascii="Calibri" w:hAnsi="Calibri"/>
                <w:b/>
                <w:color w:val="30A46C"/>
                <w:sz w:val="22"/>
              </w:rPr>
              <w:t>+3.0%</w:t>
            </w:r>
          </w:p>
        </w:tc>
        <w:tc>
          <w:tcPr>
            <w:tcW w:type="dxa" w:w="1440"/>
          </w:tcPr>
          <w:p>
            <w:r>
              <w:rPr>
                <w:rFonts w:ascii="Calibri" w:hAnsi="Calibri"/>
                <w:sz w:val="22"/>
              </w:rPr>
              <w:t>BEAT</w:t>
            </w:r>
          </w:p>
        </w:tc>
      </w:tr>
      <w:tr>
        <w:tc>
          <w:tcPr>
            <w:tcW w:type="dxa" w:w="1440"/>
          </w:tcPr>
          <w:p>
            <w:r>
              <w:rPr>
                <w:rFonts w:ascii="Calibri" w:hAnsi="Calibri"/>
                <w:sz w:val="22"/>
              </w:rPr>
              <w:t>Q3 2024</w:t>
            </w:r>
          </w:p>
        </w:tc>
        <w:tc>
          <w:tcPr>
            <w:tcW w:type="dxa" w:w="1440"/>
          </w:tcPr>
          <w:p>
            <w:r>
              <w:rPr>
                <w:rFonts w:ascii="Calibri" w:hAnsi="Calibri"/>
                <w:sz w:val="22"/>
              </w:rPr>
              <w:t>EPS — Diluted Operating ($)</w:t>
            </w:r>
          </w:p>
        </w:tc>
        <w:tc>
          <w:tcPr>
            <w:tcW w:type="dxa" w:w="1440"/>
          </w:tcPr>
          <w:p>
            <w:r>
              <w:rPr>
                <w:rFonts w:ascii="Calibri" w:hAnsi="Calibri"/>
                <w:sz w:val="22"/>
              </w:rPr>
              <w:t>1.49</w:t>
            </w:r>
          </w:p>
        </w:tc>
        <w:tc>
          <w:tcPr>
            <w:tcW w:type="dxa" w:w="1440"/>
          </w:tcPr>
          <w:p>
            <w:r>
              <w:rPr>
                <w:rFonts w:ascii="Calibri" w:hAnsi="Calibri"/>
                <w:sz w:val="22"/>
              </w:rPr>
              <w:t>1.40</w:t>
            </w:r>
          </w:p>
        </w:tc>
        <w:tc>
          <w:tcPr>
            <w:tcW w:type="dxa" w:w="1440"/>
          </w:tcPr>
          <w:p>
            <w:r>
              <w:rPr>
                <w:rFonts w:ascii="Calibri" w:hAnsi="Calibri"/>
                <w:b/>
                <w:color w:val="30A46C"/>
                <w:sz w:val="22"/>
              </w:rPr>
              <w:t>+6.4%</w:t>
            </w:r>
          </w:p>
        </w:tc>
        <w:tc>
          <w:tcPr>
            <w:tcW w:type="dxa" w:w="1440"/>
          </w:tcPr>
          <w:p>
            <w:r>
              <w:rPr>
                <w:rFonts w:ascii="Calibri" w:hAnsi="Calibri"/>
                <w:sz w:val="22"/>
              </w:rPr>
              <w:t>BEAT</w:t>
            </w:r>
          </w:p>
        </w:tc>
      </w:tr>
      <w:tr>
        <w:tc>
          <w:tcPr>
            <w:tcW w:type="dxa" w:w="1440"/>
          </w:tcPr>
          <w:p>
            <w:r>
              <w:rPr>
                <w:rFonts w:ascii="Calibri" w:hAnsi="Calibri"/>
                <w:sz w:val="22"/>
              </w:rPr>
              <w:t>Q3 2024</w:t>
            </w:r>
          </w:p>
        </w:tc>
        <w:tc>
          <w:tcPr>
            <w:tcW w:type="dxa" w:w="1440"/>
          </w:tcPr>
          <w:p>
            <w:r>
              <w:rPr>
                <w:rFonts w:ascii="Calibri" w:hAnsi="Calibri"/>
                <w:sz w:val="22"/>
              </w:rPr>
              <w:t>Steel Mills Shipments (M tons)</w:t>
            </w:r>
          </w:p>
        </w:tc>
        <w:tc>
          <w:tcPr>
            <w:tcW w:type="dxa" w:w="1440"/>
          </w:tcPr>
          <w:p>
            <w:r>
              <w:rPr>
                <w:rFonts w:ascii="Calibri" w:hAnsi="Calibri"/>
                <w:sz w:val="22"/>
              </w:rPr>
              <w:t>4.607M</w:t>
            </w:r>
          </w:p>
        </w:tc>
        <w:tc>
          <w:tcPr>
            <w:tcW w:type="dxa" w:w="1440"/>
          </w:tcPr>
          <w:p>
            <w:r>
              <w:rPr>
                <w:rFonts w:ascii="Calibri" w:hAnsi="Calibri"/>
                <w:sz w:val="22"/>
              </w:rPr>
              <w:t>4.667M</w:t>
            </w:r>
          </w:p>
        </w:tc>
        <w:tc>
          <w:tcPr>
            <w:tcW w:type="dxa" w:w="1440"/>
          </w:tcPr>
          <w:p>
            <w:r>
              <w:rPr>
                <w:rFonts w:ascii="Calibri" w:hAnsi="Calibri"/>
                <w:b/>
                <w:color w:val="E5484D"/>
                <w:sz w:val="22"/>
              </w:rPr>
              <w:t>−1.3%</w:t>
            </w:r>
          </w:p>
        </w:tc>
        <w:tc>
          <w:tcPr>
            <w:tcW w:type="dxa" w:w="1440"/>
          </w:tcPr>
          <w:p>
            <w:r>
              <w:rPr>
                <w:rFonts w:ascii="Calibri" w:hAnsi="Calibri"/>
                <w:sz w:val="22"/>
              </w:rPr>
              <w:t>MISS</w:t>
            </w:r>
          </w:p>
        </w:tc>
      </w:tr>
    </w:tbl>
    <w:p>
      <w:r>
        <w:rPr>
          <w:rFonts w:ascii="Calibri" w:hAnsi="Calibri"/>
          <w:b/>
          <w:color w:val="525866"/>
          <w:sz w:val="22"/>
        </w:rPr>
        <w:t xml:space="preserve">Pattern: </w:t>
      </w:r>
      <w:r>
        <w:rPr>
          <w:rFonts w:ascii="Calibri" w:hAnsi="Calibri"/>
          <w:color w:val="525866"/>
          <w:sz w:val="22"/>
        </w:rPr>
        <w:t>NUE has beaten EPS consensus in 7 of the last 8 quarters, with the lone miss in Q4 2025 driven by a weather-related volume shortfall. Shipment beats are less consistent (5 of 8), but the magnitude of EPS beats has been large when volumes surprise to the upside. The Q1 2026 double-beat (+16.2% EPS, +7.6% shipments) is the most recent data point and sets a high-quality precedent heading into Q2.</w:t>
      </w:r>
    </w:p>
    <w:p>
      <w:r>
        <w:rPr>
          <w:rFonts w:ascii="Calibri" w:hAnsi="Calibri"/>
          <w:i/>
          <w:color w:val="525866"/>
          <w:sz w:val="22"/>
        </w:rPr>
        <w:t>Source: Visible Alpha Consensus and Actuals Data.</w:t>
      </w:r>
    </w:p>
    <w:p>
      <w:r>
        <w:br w:type="page"/>
      </w:r>
    </w:p>
    <w:p>
      <w:pPr>
        <w:pStyle w:val="Heading2"/>
      </w:pPr>
      <w:r>
        <w:rPr>
          <w:rFonts w:ascii="Calibri" w:hAnsi="Calibri"/>
          <w:b/>
          <w:color w:val="3B4259"/>
          <w:sz w:val="28"/>
        </w:rPr>
        <w:t>3. Guidance &amp; Commentary Evolution</w:t>
      </w:r>
    </w:p>
    <w:p>
      <w:r>
        <w:rPr>
          <w:rFonts w:ascii="Calibri" w:hAnsi="Calibri"/>
          <w:b/>
          <w:color w:val="525866"/>
          <w:sz w:val="22"/>
        </w:rPr>
        <w:t xml:space="preserve">Key Takeaway: </w:t>
      </w:r>
      <w:r>
        <w:rPr>
          <w:rFonts w:ascii="Calibri" w:hAnsi="Calibri"/>
          <w:color w:val="525866"/>
          <w:sz w:val="22"/>
        </w:rPr>
        <w:t>Guidance has moved materially higher since Q1 earnings — NUE issued a formal Q2 pre-announcement on June 17 guiding adj. EPS to $4.50–$4.60, a significant upgrade from the qualitative “higher consolidated earnings” language used at the Q1 call; tone is the most confident it has been in several years, with management explicitly flagging a $130M raw material cost refund, Helion investment gain, and all three segments improving sequentially.</w:t>
      </w:r>
    </w:p>
    <w:tbl>
      <w:tblPr>
        <w:tblStyle w:val="TableGrid"/>
        <w:tblW w:type="auto" w:w="0"/>
        <w:tblLook w:firstColumn="1" w:firstRow="1" w:lastColumn="0" w:lastRow="0" w:noHBand="0" w:noVBand="1" w:val="04A0"/>
      </w:tblPr>
      <w:tblGrid>
        <w:gridCol w:w="1728"/>
        <w:gridCol w:w="1728"/>
        <w:gridCol w:w="1728"/>
        <w:gridCol w:w="1728"/>
        <w:gridCol w:w="1728"/>
      </w:tblGrid>
      <w:tr>
        <w:tc>
          <w:tcPr>
            <w:tcW w:type="dxa" w:w="1728"/>
            <w:shd w:val="clear" w:color="auto" w:fill="3B4259"/>
          </w:tcPr>
          <w:p>
            <w:r>
              <w:rPr>
                <w:rFonts w:ascii="Calibri" w:hAnsi="Calibri"/>
                <w:b/>
                <w:color w:val="FFFFFF"/>
                <w:sz w:val="22"/>
              </w:rPr>
              <w:t>Metric</w:t>
            </w:r>
          </w:p>
        </w:tc>
        <w:tc>
          <w:tcPr>
            <w:tcW w:type="dxa" w:w="1728"/>
            <w:shd w:val="clear" w:color="auto" w:fill="3B4259"/>
          </w:tcPr>
          <w:p>
            <w:r>
              <w:rPr>
                <w:rFonts w:ascii="Calibri" w:hAnsi="Calibri"/>
                <w:b/>
                <w:color w:val="FFFFFF"/>
                <w:sz w:val="22"/>
              </w:rPr>
              <w:t>Initial Guidance (Q1 2026 Earnings Call, Apr 28)</w:t>
            </w:r>
          </w:p>
        </w:tc>
        <w:tc>
          <w:tcPr>
            <w:tcW w:type="dxa" w:w="1728"/>
            <w:shd w:val="clear" w:color="auto" w:fill="3B4259"/>
          </w:tcPr>
          <w:p>
            <w:r>
              <w:rPr>
                <w:rFonts w:ascii="Calibri" w:hAnsi="Calibri"/>
                <w:b/>
                <w:color w:val="FFFFFF"/>
                <w:sz w:val="22"/>
              </w:rPr>
              <w:t>Revised Guidance</w:t>
            </w:r>
          </w:p>
        </w:tc>
        <w:tc>
          <w:tcPr>
            <w:tcW w:type="dxa" w:w="1728"/>
            <w:shd w:val="clear" w:color="auto" w:fill="3B4259"/>
          </w:tcPr>
          <w:p>
            <w:r>
              <w:rPr>
                <w:rFonts w:ascii="Calibri" w:hAnsi="Calibri"/>
                <w:b/>
                <w:color w:val="FFFFFF"/>
                <w:sz w:val="22"/>
              </w:rPr>
              <w:t>Current Consensus</w:t>
            </w:r>
          </w:p>
        </w:tc>
        <w:tc>
          <w:tcPr>
            <w:tcW w:type="dxa" w:w="1728"/>
            <w:shd w:val="clear" w:color="auto" w:fill="3B4259"/>
          </w:tcPr>
          <w:p>
            <w:r>
              <w:rPr>
                <w:rFonts w:ascii="Calibri" w:hAnsi="Calibri"/>
                <w:b/>
                <w:color w:val="FFFFFF"/>
                <w:sz w:val="22"/>
              </w:rPr>
              <w:t>Note</w:t>
            </w:r>
          </w:p>
        </w:tc>
      </w:tr>
      <w:tr>
        <w:tc>
          <w:tcPr>
            <w:tcW w:type="dxa" w:w="1728"/>
          </w:tcPr>
          <w:p>
            <w:r>
              <w:rPr>
                <w:rFonts w:ascii="Calibri" w:hAnsi="Calibri"/>
                <w:sz w:val="22"/>
              </w:rPr>
              <w:t>Q2 2026 EPS (Adj.)</w:t>
            </w:r>
          </w:p>
        </w:tc>
        <w:tc>
          <w:tcPr>
            <w:tcW w:type="dxa" w:w="1728"/>
          </w:tcPr>
          <w:p>
            <w:r>
              <w:rPr>
                <w:rFonts w:ascii="Calibri" w:hAnsi="Calibri"/>
                <w:sz w:val="22"/>
              </w:rPr>
              <w:t>"Higher consolidated earnings" vs. Q1 — qualitative only; no specific range provided</w:t>
            </w:r>
          </w:p>
        </w:tc>
        <w:tc>
          <w:tcPr>
            <w:tcW w:type="dxa" w:w="1728"/>
          </w:tcPr>
          <w:p>
            <w:r>
              <w:rPr>
                <w:rFonts w:ascii="Calibri" w:hAnsi="Calibri"/>
                <w:sz w:val="22"/>
              </w:rPr>
              <w:t>$4.50–$4.60 adj. EPS ($4.70–$4.80 incl. ~$0.20 Helion non-cash gain)</w:t>
            </w:r>
          </w:p>
        </w:tc>
        <w:tc>
          <w:tcPr>
            <w:tcW w:type="dxa" w:w="1728"/>
          </w:tcPr>
          <w:p>
            <w:r>
              <w:rPr>
                <w:rFonts w:ascii="Calibri" w:hAnsi="Calibri"/>
                <w:sz w:val="22"/>
              </w:rPr>
              <w:t>$4.46</w:t>
            </w:r>
          </w:p>
        </w:tc>
        <w:tc>
          <w:tcPr>
            <w:tcW w:type="dxa" w:w="1728"/>
          </w:tcPr>
          <w:p>
            <w:r>
              <w:rPr>
                <w:rFonts w:ascii="Calibri" w:hAnsi="Calibri"/>
                <w:sz w:val="22"/>
              </w:rPr>
              <w:t>↑ Raised via formal pre-announcement June 17, 2026; significantly more specific and higher than initial qualitative guidance; includes $130M raw material cost refund benefit and ~$61M Helion investment gain</w:t>
            </w:r>
          </w:p>
        </w:tc>
      </w:tr>
      <w:tr>
        <w:tc>
          <w:tcPr>
            <w:tcW w:type="dxa" w:w="1728"/>
          </w:tcPr>
          <w:p>
            <w:r>
              <w:rPr>
                <w:rFonts w:ascii="Calibri" w:hAnsi="Calibri"/>
                <w:sz w:val="22"/>
              </w:rPr>
              <w:t>Q2 2026 Steel Mills Segment</w:t>
            </w:r>
          </w:p>
        </w:tc>
        <w:tc>
          <w:tcPr>
            <w:tcW w:type="dxa" w:w="1728"/>
          </w:tcPr>
          <w:p>
            <w:r>
              <w:rPr>
                <w:rFonts w:ascii="Calibri" w:hAnsi="Calibri"/>
                <w:sz w:val="22"/>
              </w:rPr>
              <w:t>Stable volumes, increasing metal margins; higher realized pricing partially offset by rising raw material costs; sheet and plate largest contributors to sequential increase</w:t>
            </w:r>
          </w:p>
        </w:tc>
        <w:tc>
          <w:tcPr>
            <w:tcW w:type="dxa" w:w="1728"/>
          </w:tcPr>
          <w:p>
            <w:r>
              <w:rPr>
                <w:rFonts w:ascii="Calibri" w:hAnsi="Calibri"/>
                <w:sz w:val="22"/>
              </w:rPr>
              <w:t>Higher avg. selling prices, stable volumes; ~$130M raw material cost refund benefiting COGS</w:t>
            </w:r>
          </w:p>
        </w:tc>
        <w:tc>
          <w:tcPr>
            <w:tcW w:type="dxa" w:w="1728"/>
          </w:tcPr>
          <w:p>
            <w:r>
              <w:rPr>
                <w:rFonts w:ascii="Calibri" w:hAnsi="Calibri"/>
                <w:sz w:val="22"/>
              </w:rPr>
              <w:t>ASP $1,142/ton; Shipments 5.53M tons</w:t>
            </w:r>
          </w:p>
        </w:tc>
        <w:tc>
          <w:tcPr>
            <w:tcW w:type="dxa" w:w="1728"/>
          </w:tcPr>
          <w:p>
            <w:r>
              <w:rPr>
                <w:rFonts w:ascii="Calibri" w:hAnsi="Calibri"/>
                <w:sz w:val="22"/>
              </w:rPr>
              <w:t>↑ Tone upgraded June 17; cost refund is incremental positive not flagged at Q1 call</w:t>
            </w:r>
          </w:p>
        </w:tc>
      </w:tr>
      <w:tr>
        <w:tc>
          <w:tcPr>
            <w:tcW w:type="dxa" w:w="1728"/>
          </w:tcPr>
          <w:p>
            <w:r>
              <w:rPr>
                <w:rFonts w:ascii="Calibri" w:hAnsi="Calibri"/>
                <w:sz w:val="22"/>
              </w:rPr>
              <w:t>Q2 2026 Steel Products Segment</w:t>
            </w:r>
          </w:p>
        </w:tc>
        <w:tc>
          <w:tcPr>
            <w:tcW w:type="dxa" w:w="1728"/>
          </w:tcPr>
          <w:p>
            <w:r>
              <w:rPr>
                <w:rFonts w:ascii="Calibri" w:hAnsi="Calibri"/>
                <w:sz w:val="22"/>
              </w:rPr>
              <w:t>Higher volumes, stable pricing; margins to improve as backlog reprices higher; data center joist/deck a key driver</w:t>
            </w:r>
          </w:p>
        </w:tc>
        <w:tc>
          <w:tcPr>
            <w:tcW w:type="dxa" w:w="1728"/>
          </w:tcPr>
          <w:p>
            <w:r>
              <w:rPr>
                <w:rFonts w:ascii="Calibri" w:hAnsi="Calibri"/>
                <w:sz w:val="22"/>
              </w:rPr>
              <w:t>Higher earnings due to increased volumes and slightly higher avg. realized pricing</w:t>
            </w:r>
          </w:p>
        </w:tc>
        <w:tc>
          <w:tcPr>
            <w:tcW w:type="dxa" w:w="1728"/>
          </w:tcPr>
          <w:p>
            <w:r>
              <w:rPr>
                <w:rFonts w:ascii="Calibri" w:hAnsi="Calibri"/>
                <w:sz w:val="22"/>
              </w:rPr>
              <w:t>Shipments 1.228M tons</w:t>
            </w:r>
          </w:p>
        </w:tc>
        <w:tc>
          <w:tcPr>
            <w:tcW w:type="dxa" w:w="1728"/>
          </w:tcPr>
          <w:p>
            <w:r>
              <w:rPr>
                <w:rFonts w:ascii="Calibri" w:hAnsi="Calibri"/>
                <w:sz w:val="22"/>
              </w:rPr>
              <w:t>↑ Pricing upgraded from “stable” to “slightly higher” at June 17 pre-announcement</w:t>
            </w:r>
          </w:p>
        </w:tc>
      </w:tr>
      <w:tr>
        <w:tc>
          <w:tcPr>
            <w:tcW w:type="dxa" w:w="1728"/>
          </w:tcPr>
          <w:p>
            <w:r>
              <w:rPr>
                <w:rFonts w:ascii="Calibri" w:hAnsi="Calibri"/>
                <w:sz w:val="22"/>
              </w:rPr>
              <w:t>Q2 2026 Raw Materials Segment</w:t>
            </w:r>
          </w:p>
        </w:tc>
        <w:tc>
          <w:tcPr>
            <w:tcW w:type="dxa" w:w="1728"/>
          </w:tcPr>
          <w:p>
            <w:r>
              <w:rPr>
                <w:rFonts w:ascii="Calibri" w:hAnsi="Calibri"/>
                <w:sz w:val="22"/>
              </w:rPr>
              <w:t>Higher earnings driven by improved realized pricing for DRI</w:t>
            </w:r>
          </w:p>
        </w:tc>
        <w:tc>
          <w:tcPr>
            <w:tcW w:type="dxa" w:w="1728"/>
          </w:tcPr>
          <w:p>
            <w:r>
              <w:rPr>
                <w:rFonts w:ascii="Calibri" w:hAnsi="Calibri"/>
                <w:sz w:val="22"/>
              </w:rPr>
              <w:t>Higher earnings due to higher avg. realized prices</w:t>
            </w:r>
          </w:p>
        </w:tc>
        <w:tc>
          <w:tcPr>
            <w:tcW w:type="dxa" w:w="1728"/>
          </w:tcPr>
          <w:p>
            <w:r>
              <w:rPr>
                <w:rFonts w:ascii="Calibri" w:hAnsi="Calibri"/>
                <w:sz w:val="22"/>
              </w:rPr>
              <w:t>N/A (not separately tracked in consensus)</w:t>
            </w:r>
          </w:p>
        </w:tc>
        <w:tc>
          <w:tcPr>
            <w:tcW w:type="dxa" w:w="1728"/>
          </w:tcPr>
          <w:p>
            <w:r>
              <w:rPr>
                <w:rFonts w:ascii="Calibri" w:hAnsi="Calibri"/>
                <w:sz w:val="22"/>
              </w:rPr>
              <w:t>Unchanged in direction; consistent with Q1 call language</w:t>
            </w:r>
          </w:p>
        </w:tc>
      </w:tr>
      <w:tr>
        <w:tc>
          <w:tcPr>
            <w:tcW w:type="dxa" w:w="1728"/>
          </w:tcPr>
          <w:p>
            <w:r>
              <w:rPr>
                <w:rFonts w:ascii="Calibri" w:hAnsi="Calibri"/>
                <w:sz w:val="22"/>
              </w:rPr>
              <w:t>FY 2026 Volume Growth</w:t>
            </w:r>
          </w:p>
        </w:tc>
        <w:tc>
          <w:tcPr>
            <w:tcW w:type="dxa" w:w="1728"/>
          </w:tcPr>
          <w:p>
            <w:r>
              <w:rPr>
                <w:rFonts w:ascii="Calibri" w:hAnsi="Calibri"/>
                <w:sz w:val="22"/>
              </w:rPr>
              <w:t>&gt;5% shipment growth vs. 2025; CEO suggested “much more likely pushes closer to double digits”</w:t>
            </w:r>
          </w:p>
        </w:tc>
        <w:tc>
          <w:tcPr>
            <w:tcW w:type="dxa" w:w="1728"/>
          </w:tcPr>
          <w:p>
            <w:r>
              <w:rPr>
                <w:rFonts w:ascii="Calibri" w:hAnsi="Calibri"/>
                <w:sz w:val="22"/>
              </w:rPr>
              <w:t>No formal revision; qualitative optimism maintained</w:t>
            </w:r>
          </w:p>
        </w:tc>
        <w:tc>
          <w:tcPr>
            <w:tcW w:type="dxa" w:w="1728"/>
          </w:tcPr>
          <w:p>
            <w:r>
              <w:rPr>
                <w:rFonts w:ascii="Calibri" w:hAnsi="Calibri"/>
                <w:sz w:val="22"/>
              </w:rPr>
              <w:t>21.59M tons FY 2026 consensus</w:t>
            </w:r>
          </w:p>
        </w:tc>
        <w:tc>
          <w:tcPr>
            <w:tcW w:type="dxa" w:w="1728"/>
          </w:tcPr>
          <w:p>
            <w:r>
              <w:rPr>
                <w:rFonts w:ascii="Calibri" w:hAnsi="Calibri"/>
                <w:sz w:val="22"/>
              </w:rPr>
              <w:t>Unchanged; watch for formal upgrade on Q2 call</w:t>
            </w:r>
          </w:p>
        </w:tc>
      </w:tr>
      <w:tr>
        <w:tc>
          <w:tcPr>
            <w:tcW w:type="dxa" w:w="1728"/>
          </w:tcPr>
          <w:p>
            <w:r>
              <w:rPr>
                <w:rFonts w:ascii="Calibri" w:hAnsi="Calibri"/>
                <w:sz w:val="22"/>
              </w:rPr>
              <w:t>FY 2026 CapEx</w:t>
            </w:r>
          </w:p>
        </w:tc>
        <w:tc>
          <w:tcPr>
            <w:tcW w:type="dxa" w:w="1728"/>
          </w:tcPr>
          <w:p>
            <w:r>
              <w:rPr>
                <w:rFonts w:ascii="Calibri" w:hAnsi="Calibri"/>
                <w:sz w:val="22"/>
              </w:rPr>
              <w:t>~$2.5B full-year; on track</w:t>
            </w:r>
          </w:p>
        </w:tc>
        <w:tc>
          <w:tcPr>
            <w:tcW w:type="dxa" w:w="1728"/>
          </w:tcPr>
          <w:p>
            <w:r>
              <w:rPr>
                <w:rFonts w:ascii="Calibri" w:hAnsi="Calibri"/>
                <w:sz w:val="22"/>
              </w:rPr>
              <w:t>No revision</w:t>
            </w:r>
          </w:p>
        </w:tc>
        <w:tc>
          <w:tcPr>
            <w:tcW w:type="dxa" w:w="1728"/>
          </w:tcPr>
          <w:p>
            <w:r>
              <w:rPr>
                <w:rFonts w:ascii="Calibri" w:hAnsi="Calibri"/>
                <w:sz w:val="22"/>
              </w:rPr>
              <w:t>$2.52B</w:t>
            </w:r>
          </w:p>
        </w:tc>
        <w:tc>
          <w:tcPr>
            <w:tcW w:type="dxa" w:w="1728"/>
          </w:tcPr>
          <w:p>
            <w:r>
              <w:rPr>
                <w:rFonts w:ascii="Calibri" w:hAnsi="Calibri"/>
                <w:sz w:val="22"/>
              </w:rPr>
              <w:t>Unchanged; CapEx moderating as WV mill nears completion</w:t>
            </w:r>
          </w:p>
        </w:tc>
      </w:tr>
      <w:tr>
        <w:tc>
          <w:tcPr>
            <w:tcW w:type="dxa" w:w="1728"/>
          </w:tcPr>
          <w:p>
            <w:r>
              <w:rPr>
                <w:rFonts w:ascii="Calibri" w:hAnsi="Calibri"/>
                <w:sz w:val="22"/>
              </w:rPr>
              <w:t>Capital Returns (YTD through June 17)</w:t>
            </w:r>
          </w:p>
        </w:tc>
        <w:tc>
          <w:tcPr>
            <w:tcW w:type="dxa" w:w="1728"/>
          </w:tcPr>
          <w:p>
            <w:r>
              <w:rPr>
                <w:rFonts w:ascii="Calibri" w:hAnsi="Calibri"/>
                <w:sz w:val="22"/>
              </w:rPr>
              <w:t>New large share repurchase authorization announced at Q1</w:t>
            </w:r>
          </w:p>
        </w:tc>
        <w:tc>
          <w:tcPr>
            <w:tcW w:type="dxa" w:w="1728"/>
          </w:tcPr>
          <w:p>
            <w:r>
              <w:rPr>
                <w:rFonts w:ascii="Calibri" w:hAnsi="Calibri"/>
                <w:sz w:val="22"/>
              </w:rPr>
              <w:t>~$630M returned YTD (buybacks + dividends); 1.12M shares repurchased in Q2 at avg. $223.47</w:t>
            </w:r>
          </w:p>
        </w:tc>
        <w:tc>
          <w:tcPr>
            <w:tcW w:type="dxa" w:w="1728"/>
          </w:tcPr>
          <w:p>
            <w:r>
              <w:rPr>
                <w:rFonts w:ascii="Calibri" w:hAnsi="Calibri"/>
                <w:sz w:val="22"/>
              </w:rPr>
              <w:t>N/A</w:t>
            </w:r>
          </w:p>
        </w:tc>
        <w:tc>
          <w:tcPr>
            <w:tcW w:type="dxa" w:w="1728"/>
          </w:tcPr>
          <w:p>
            <w:r>
              <w:rPr>
                <w:rFonts w:ascii="Calibri" w:hAnsi="Calibri"/>
                <w:sz w:val="22"/>
              </w:rPr>
              <w:t>Disclosed June 17; signals continued capital return commitment</w:t>
            </w:r>
          </w:p>
        </w:tc>
      </w:tr>
    </w:tbl>
    <w:p>
      <w:r>
        <w:rPr>
          <w:rFonts w:ascii="Calibri" w:hAnsi="Calibri"/>
          <w:i/>
          <w:color w:val="525866"/>
          <w:sz w:val="22"/>
        </w:rPr>
        <w:t>Sources: NUE Q1 2026 Earnings Call Transcript (April 28, 2026); NUE Q2 2026 Earnings Guidance Press Release (June 17, 2026); Visible Alpha Consensus and Actuals Data.</w:t>
      </w:r>
    </w:p>
    <w:p>
      <w:r>
        <w:br w:type="page"/>
      </w:r>
    </w:p>
    <w:p>
      <w:pPr>
        <w:pStyle w:val="Heading2"/>
      </w:pPr>
      <w:r>
        <w:rPr>
          <w:rFonts w:ascii="Calibri" w:hAnsi="Calibri"/>
          <w:b/>
          <w:color w:val="3B4259"/>
          <w:sz w:val="28"/>
        </w:rPr>
        <w:t>4. Guidance vs. Estimate Revision Tracker</w:t>
      </w:r>
    </w:p>
    <w:p>
      <w:r>
        <w:rPr>
          <w:rFonts w:ascii="Calibri" w:hAnsi="Calibri"/>
          <w:b/>
          <w:color w:val="525866"/>
          <w:sz w:val="22"/>
        </w:rPr>
        <w:t xml:space="preserve">Key Takeaway: </w:t>
      </w:r>
      <w:r>
        <w:rPr>
          <w:rFonts w:ascii="Calibri" w:hAnsi="Calibri"/>
          <w:color w:val="525866"/>
          <w:sz w:val="22"/>
        </w:rPr>
        <w:t>Estimates have moved sharply higher since Q1 earnings — Q2 2026 EPS consensus is up +7.3% from the post-Q1 baseline of $4.16 to $4.46 today, and FY 2026 EPS consensus has surged +14.2% from $14.71 to $16.80, driven by the June 17 pre-announcement and peer read-throughs; estimates are tracking guidance (not diverging), and the gap between consensus ($4.46) and the adj. guidance midpoint ($4.55) represents a modest cushion rather than a risk.</w:t>
      </w:r>
    </w:p>
    <w:tbl>
      <w:tblPr>
        <w:tblStyle w:val="TableGrid"/>
        <w:tblW w:type="auto" w:w="0"/>
        <w:tblLook w:firstColumn="1" w:firstRow="1" w:lastColumn="0" w:lastRow="0" w:noHBand="0" w:noVBand="1" w:val="04A0"/>
      </w:tblPr>
      <w:tblGrid>
        <w:gridCol w:w="1080"/>
        <w:gridCol w:w="1080"/>
        <w:gridCol w:w="1080"/>
        <w:gridCol w:w="1080"/>
        <w:gridCol w:w="1080"/>
        <w:gridCol w:w="1080"/>
        <w:gridCol w:w="1080"/>
        <w:gridCol w:w="1080"/>
      </w:tblGrid>
      <w:tr>
        <w:tc>
          <w:tcPr>
            <w:tcW w:type="dxa" w:w="1080"/>
            <w:shd w:val="clear" w:color="auto" w:fill="3B4259"/>
          </w:tcPr>
          <w:p>
            <w:r>
              <w:rPr>
                <w:rFonts w:ascii="Calibri" w:hAnsi="Calibri"/>
                <w:b/>
                <w:color w:val="FFFFFF"/>
                <w:sz w:val="22"/>
              </w:rPr>
              <w:t>KPI (Period)</w:t>
            </w:r>
          </w:p>
        </w:tc>
        <w:tc>
          <w:tcPr>
            <w:tcW w:type="dxa" w:w="1080"/>
            <w:shd w:val="clear" w:color="auto" w:fill="3B4259"/>
          </w:tcPr>
          <w:p>
            <w:r>
              <w:rPr>
                <w:rFonts w:ascii="Calibri" w:hAnsi="Calibri"/>
                <w:b/>
                <w:color w:val="FFFFFF"/>
                <w:sz w:val="22"/>
              </w:rPr>
              <w:t>Estimate ~5 Days Post Q1 Earnings (May 4, 2026)</w:t>
            </w:r>
          </w:p>
        </w:tc>
        <w:tc>
          <w:tcPr>
            <w:tcW w:type="dxa" w:w="1080"/>
            <w:shd w:val="clear" w:color="auto" w:fill="3B4259"/>
          </w:tcPr>
          <w:p>
            <w:r>
              <w:rPr>
                <w:rFonts w:ascii="Calibri" w:hAnsi="Calibri"/>
                <w:b/>
                <w:color w:val="FFFFFF"/>
                <w:sz w:val="22"/>
              </w:rPr>
              <w:t>Current Consensus (July 26, 2026)</w:t>
            </w:r>
          </w:p>
        </w:tc>
        <w:tc>
          <w:tcPr>
            <w:tcW w:type="dxa" w:w="1080"/>
            <w:shd w:val="clear" w:color="auto" w:fill="3B4259"/>
          </w:tcPr>
          <w:p>
            <w:r>
              <w:rPr>
                <w:rFonts w:ascii="Calibri" w:hAnsi="Calibri"/>
                <w:b/>
                <w:color w:val="FFFFFF"/>
                <w:sz w:val="22"/>
              </w:rPr>
              <w:t>Estimate Δ (%)</w:t>
            </w:r>
          </w:p>
        </w:tc>
        <w:tc>
          <w:tcPr>
            <w:tcW w:type="dxa" w:w="1080"/>
            <w:shd w:val="clear" w:color="auto" w:fill="3B4259"/>
          </w:tcPr>
          <w:p>
            <w:r>
              <w:rPr>
                <w:rFonts w:ascii="Calibri" w:hAnsi="Calibri"/>
                <w:b/>
                <w:color w:val="FFFFFF"/>
                <w:sz w:val="22"/>
              </w:rPr>
              <w:t>Initial Guidance (Q1 Call, Apr 28)</w:t>
            </w:r>
          </w:p>
        </w:tc>
        <w:tc>
          <w:tcPr>
            <w:tcW w:type="dxa" w:w="1080"/>
            <w:shd w:val="clear" w:color="auto" w:fill="3B4259"/>
          </w:tcPr>
          <w:p>
            <w:r>
              <w:rPr>
                <w:rFonts w:ascii="Calibri" w:hAnsi="Calibri"/>
                <w:b/>
                <w:color w:val="FFFFFF"/>
                <w:sz w:val="22"/>
              </w:rPr>
              <w:t>Current Guidance (June 17 Pre-Ann.)</w:t>
            </w:r>
          </w:p>
        </w:tc>
        <w:tc>
          <w:tcPr>
            <w:tcW w:type="dxa" w:w="1080"/>
            <w:shd w:val="clear" w:color="auto" w:fill="3B4259"/>
          </w:tcPr>
          <w:p>
            <w:r>
              <w:rPr>
                <w:rFonts w:ascii="Calibri" w:hAnsi="Calibri"/>
                <w:b/>
                <w:color w:val="FFFFFF"/>
                <w:sz w:val="22"/>
              </w:rPr>
              <w:t>Guidance Δ</w:t>
            </w:r>
          </w:p>
        </w:tc>
        <w:tc>
          <w:tcPr>
            <w:tcW w:type="dxa" w:w="1080"/>
            <w:shd w:val="clear" w:color="auto" w:fill="3B4259"/>
          </w:tcPr>
          <w:p>
            <w:r>
              <w:rPr>
                <w:rFonts w:ascii="Calibri" w:hAnsi="Calibri"/>
                <w:b/>
                <w:color w:val="FFFFFF"/>
                <w:sz w:val="22"/>
              </w:rPr>
              <w:t>Consensus vs. Current Guidance (%)</w:t>
            </w:r>
          </w:p>
        </w:tc>
      </w:tr>
      <w:tr>
        <w:tc>
          <w:tcPr>
            <w:tcW w:type="dxa" w:w="1080"/>
          </w:tcPr>
          <w:p>
            <w:r>
              <w:rPr>
                <w:rFonts w:ascii="Calibri" w:hAnsi="Calibri"/>
                <w:sz w:val="22"/>
              </w:rPr>
              <w:t>EPS — Diluted Operating (Q2 2026)</w:t>
            </w:r>
          </w:p>
        </w:tc>
        <w:tc>
          <w:tcPr>
            <w:tcW w:type="dxa" w:w="1080"/>
          </w:tcPr>
          <w:p>
            <w:r>
              <w:rPr>
                <w:rFonts w:ascii="Calibri" w:hAnsi="Calibri"/>
                <w:sz w:val="22"/>
              </w:rPr>
              <w:t>$4.16</w:t>
            </w:r>
          </w:p>
        </w:tc>
        <w:tc>
          <w:tcPr>
            <w:tcW w:type="dxa" w:w="1080"/>
          </w:tcPr>
          <w:p>
            <w:r>
              <w:rPr>
                <w:rFonts w:ascii="Calibri" w:hAnsi="Calibri"/>
                <w:sz w:val="22"/>
              </w:rPr>
              <w:t>$4.46</w:t>
            </w:r>
          </w:p>
        </w:tc>
        <w:tc>
          <w:tcPr>
            <w:tcW w:type="dxa" w:w="1080"/>
          </w:tcPr>
          <w:p>
            <w:r>
              <w:rPr>
                <w:rFonts w:ascii="Calibri" w:hAnsi="Calibri"/>
                <w:b/>
                <w:color w:val="30A46C"/>
                <w:sz w:val="22"/>
              </w:rPr>
              <w:t>+7.3%</w:t>
            </w:r>
          </w:p>
        </w:tc>
        <w:tc>
          <w:tcPr>
            <w:tcW w:type="dxa" w:w="1080"/>
          </w:tcPr>
          <w:p>
            <w:r>
              <w:rPr>
                <w:rFonts w:ascii="Calibri" w:hAnsi="Calibri"/>
                <w:sz w:val="22"/>
              </w:rPr>
              <w:t>Qualitative: “higher earnings”</w:t>
            </w:r>
          </w:p>
        </w:tc>
        <w:tc>
          <w:tcPr>
            <w:tcW w:type="dxa" w:w="1080"/>
          </w:tcPr>
          <w:p>
            <w:r>
              <w:rPr>
                <w:rFonts w:ascii="Calibri" w:hAnsi="Calibri"/>
                <w:sz w:val="22"/>
              </w:rPr>
              <w:t>$4.50–$4.60 adj. (midpoint $4.55)</w:t>
            </w:r>
          </w:p>
        </w:tc>
        <w:tc>
          <w:tcPr>
            <w:tcW w:type="dxa" w:w="1080"/>
          </w:tcPr>
          <w:p>
            <w:r>
              <w:rPr>
                <w:rFonts w:ascii="Calibri" w:hAnsi="Calibri"/>
                <w:sz w:val="22"/>
              </w:rPr>
              <w:t>↑ Significantly raised</w:t>
            </w:r>
          </w:p>
        </w:tc>
        <w:tc>
          <w:tcPr>
            <w:tcW w:type="dxa" w:w="1080"/>
          </w:tcPr>
          <w:p>
            <w:r>
              <w:rPr>
                <w:rFonts w:ascii="Calibri" w:hAnsi="Calibri"/>
                <w:sz w:val="22"/>
              </w:rPr>
              <w:t>−2.0% below midpoint (cushion)</w:t>
            </w:r>
          </w:p>
        </w:tc>
      </w:tr>
      <w:tr>
        <w:tc>
          <w:tcPr>
            <w:tcW w:type="dxa" w:w="1080"/>
          </w:tcPr>
          <w:p>
            <w:r>
              <w:rPr>
                <w:rFonts w:ascii="Calibri" w:hAnsi="Calibri"/>
                <w:sz w:val="22"/>
              </w:rPr>
              <w:t>Total Revenue (Q2 2026)</w:t>
            </w:r>
          </w:p>
        </w:tc>
        <w:tc>
          <w:tcPr>
            <w:tcW w:type="dxa" w:w="1080"/>
          </w:tcPr>
          <w:p>
            <w:r>
              <w:rPr>
                <w:rFonts w:ascii="Calibri" w:hAnsi="Calibri"/>
                <w:sz w:val="22"/>
              </w:rPr>
              <w:t>$9.99B</w:t>
            </w:r>
          </w:p>
        </w:tc>
        <w:tc>
          <w:tcPr>
            <w:tcW w:type="dxa" w:w="1080"/>
          </w:tcPr>
          <w:p>
            <w:r>
              <w:rPr>
                <w:rFonts w:ascii="Calibri" w:hAnsi="Calibri"/>
                <w:sz w:val="22"/>
              </w:rPr>
              <w:t>$9.99B</w:t>
            </w:r>
          </w:p>
        </w:tc>
        <w:tc>
          <w:tcPr>
            <w:tcW w:type="dxa" w:w="1080"/>
          </w:tcPr>
          <w:p>
            <w:r>
              <w:rPr>
                <w:rFonts w:ascii="Calibri" w:hAnsi="Calibri"/>
                <w:sz w:val="22"/>
              </w:rPr>
              <w:t>Flat</w:t>
            </w:r>
          </w:p>
        </w:tc>
        <w:tc>
          <w:tcPr>
            <w:tcW w:type="dxa" w:w="1080"/>
          </w:tcPr>
          <w:p>
            <w:r>
              <w:rPr>
                <w:rFonts w:ascii="Calibri" w:hAnsi="Calibri"/>
                <w:sz w:val="22"/>
              </w:rPr>
              <w:t>Not guided</w:t>
            </w:r>
          </w:p>
        </w:tc>
        <w:tc>
          <w:tcPr>
            <w:tcW w:type="dxa" w:w="1080"/>
          </w:tcPr>
          <w:p>
            <w:r>
              <w:rPr>
                <w:rFonts w:ascii="Calibri" w:hAnsi="Calibri"/>
                <w:sz w:val="22"/>
              </w:rPr>
              <w:t>Not guided</w:t>
            </w:r>
          </w:p>
        </w:tc>
        <w:tc>
          <w:tcPr>
            <w:tcW w:type="dxa" w:w="1080"/>
          </w:tcPr>
          <w:p>
            <w:r>
              <w:rPr>
                <w:rFonts w:ascii="Calibri" w:hAnsi="Calibri"/>
                <w:sz w:val="22"/>
              </w:rPr>
              <w:t>N/A</w:t>
            </w:r>
          </w:p>
        </w:tc>
        <w:tc>
          <w:tcPr>
            <w:tcW w:type="dxa" w:w="1080"/>
          </w:tcPr>
          <w:p>
            <w:r>
              <w:rPr>
                <w:rFonts w:ascii="Calibri" w:hAnsi="Calibri"/>
                <w:sz w:val="22"/>
              </w:rPr>
              <w:t>N/A</w:t>
            </w:r>
          </w:p>
        </w:tc>
      </w:tr>
      <w:tr>
        <w:tc>
          <w:tcPr>
            <w:tcW w:type="dxa" w:w="1080"/>
          </w:tcPr>
          <w:p>
            <w:r>
              <w:rPr>
                <w:rFonts w:ascii="Calibri" w:hAnsi="Calibri"/>
                <w:sz w:val="22"/>
              </w:rPr>
              <w:t>Steel Mills Shipments (Q2 2026)</w:t>
            </w:r>
          </w:p>
        </w:tc>
        <w:tc>
          <w:tcPr>
            <w:tcW w:type="dxa" w:w="1080"/>
          </w:tcPr>
          <w:p>
            <w:r>
              <w:rPr>
                <w:rFonts w:ascii="Calibri" w:hAnsi="Calibri"/>
                <w:sz w:val="22"/>
              </w:rPr>
              <w:t>5.553M tons</w:t>
            </w:r>
          </w:p>
        </w:tc>
        <w:tc>
          <w:tcPr>
            <w:tcW w:type="dxa" w:w="1080"/>
          </w:tcPr>
          <w:p>
            <w:r>
              <w:rPr>
                <w:rFonts w:ascii="Calibri" w:hAnsi="Calibri"/>
                <w:sz w:val="22"/>
              </w:rPr>
              <w:t>5.532M tons</w:t>
            </w:r>
          </w:p>
        </w:tc>
        <w:tc>
          <w:tcPr>
            <w:tcW w:type="dxa" w:w="1080"/>
          </w:tcPr>
          <w:p>
            <w:r>
              <w:rPr>
                <w:rFonts w:ascii="Calibri" w:hAnsi="Calibri"/>
                <w:sz w:val="22"/>
              </w:rPr>
              <w:t>−0.4%</w:t>
            </w:r>
          </w:p>
        </w:tc>
        <w:tc>
          <w:tcPr>
            <w:tcW w:type="dxa" w:w="1080"/>
          </w:tcPr>
          <w:p>
            <w:r>
              <w:rPr>
                <w:rFonts w:ascii="Calibri" w:hAnsi="Calibri"/>
                <w:sz w:val="22"/>
              </w:rPr>
              <w:t>Stable volumes</w:t>
            </w:r>
          </w:p>
        </w:tc>
        <w:tc>
          <w:tcPr>
            <w:tcW w:type="dxa" w:w="1080"/>
          </w:tcPr>
          <w:p>
            <w:r>
              <w:rPr>
                <w:rFonts w:ascii="Calibri" w:hAnsi="Calibri"/>
                <w:sz w:val="22"/>
              </w:rPr>
              <w:t>Stable volumes</w:t>
            </w:r>
          </w:p>
        </w:tc>
        <w:tc>
          <w:tcPr>
            <w:tcW w:type="dxa" w:w="1080"/>
          </w:tcPr>
          <w:p>
            <w:r>
              <w:rPr>
                <w:rFonts w:ascii="Calibri" w:hAnsi="Calibri"/>
                <w:sz w:val="22"/>
              </w:rPr>
              <w:t>Unchanged</w:t>
            </w:r>
          </w:p>
        </w:tc>
        <w:tc>
          <w:tcPr>
            <w:tcW w:type="dxa" w:w="1080"/>
          </w:tcPr>
          <w:p>
            <w:r>
              <w:rPr>
                <w:rFonts w:ascii="Calibri" w:hAnsi="Calibri"/>
                <w:sz w:val="22"/>
              </w:rPr>
              <w:t>In line with guidance</w:t>
            </w:r>
          </w:p>
        </w:tc>
      </w:tr>
      <w:tr>
        <w:tc>
          <w:tcPr>
            <w:tcW w:type="dxa" w:w="1080"/>
          </w:tcPr>
          <w:p>
            <w:r>
              <w:rPr>
                <w:rFonts w:ascii="Calibri" w:hAnsi="Calibri"/>
                <w:sz w:val="22"/>
              </w:rPr>
              <w:t>EPS — Diluted Operating (FY 2026)</w:t>
            </w:r>
          </w:p>
        </w:tc>
        <w:tc>
          <w:tcPr>
            <w:tcW w:type="dxa" w:w="1080"/>
          </w:tcPr>
          <w:p>
            <w:r>
              <w:rPr>
                <w:rFonts w:ascii="Calibri" w:hAnsi="Calibri"/>
                <w:sz w:val="22"/>
              </w:rPr>
              <w:t>$14.71</w:t>
            </w:r>
          </w:p>
        </w:tc>
        <w:tc>
          <w:tcPr>
            <w:tcW w:type="dxa" w:w="1080"/>
          </w:tcPr>
          <w:p>
            <w:r>
              <w:rPr>
                <w:rFonts w:ascii="Calibri" w:hAnsi="Calibri"/>
                <w:sz w:val="22"/>
              </w:rPr>
              <w:t>$16.80</w:t>
            </w:r>
          </w:p>
        </w:tc>
        <w:tc>
          <w:tcPr>
            <w:tcW w:type="dxa" w:w="1080"/>
          </w:tcPr>
          <w:p>
            <w:r>
              <w:rPr>
                <w:rFonts w:ascii="Calibri" w:hAnsi="Calibri"/>
                <w:b/>
                <w:color w:val="30A46C"/>
                <w:sz w:val="22"/>
              </w:rPr>
              <w:t>+14.2%</w:t>
            </w:r>
          </w:p>
        </w:tc>
        <w:tc>
          <w:tcPr>
            <w:tcW w:type="dxa" w:w="1080"/>
          </w:tcPr>
          <w:p>
            <w:r>
              <w:rPr>
                <w:rFonts w:ascii="Calibri" w:hAnsi="Calibri"/>
                <w:sz w:val="22"/>
              </w:rPr>
              <w:t>Earnings/FCF “significantly higher” than 2025</w:t>
            </w:r>
          </w:p>
        </w:tc>
        <w:tc>
          <w:tcPr>
            <w:tcW w:type="dxa" w:w="1080"/>
          </w:tcPr>
          <w:p>
            <w:r>
              <w:rPr>
                <w:rFonts w:ascii="Calibri" w:hAnsi="Calibri"/>
                <w:sz w:val="22"/>
              </w:rPr>
              <w:t>Implied by Q2 pre-ann. + Q1 actual</w:t>
            </w:r>
          </w:p>
        </w:tc>
        <w:tc>
          <w:tcPr>
            <w:tcW w:type="dxa" w:w="1080"/>
          </w:tcPr>
          <w:p>
            <w:r>
              <w:rPr>
                <w:rFonts w:ascii="Calibri" w:hAnsi="Calibri"/>
                <w:sz w:val="22"/>
              </w:rPr>
              <w:t>↑ Materially raised</w:t>
            </w:r>
          </w:p>
        </w:tc>
        <w:tc>
          <w:tcPr>
            <w:tcW w:type="dxa" w:w="1080"/>
          </w:tcPr>
          <w:p>
            <w:r>
              <w:rPr>
                <w:rFonts w:ascii="Calibri" w:hAnsi="Calibri"/>
                <w:sz w:val="22"/>
              </w:rPr>
              <w:t>Tracking guidance direction</w:t>
            </w:r>
          </w:p>
        </w:tc>
      </w:tr>
      <w:tr>
        <w:tc>
          <w:tcPr>
            <w:tcW w:type="dxa" w:w="1080"/>
          </w:tcPr>
          <w:p>
            <w:r>
              <w:rPr>
                <w:rFonts w:ascii="Calibri" w:hAnsi="Calibri"/>
                <w:sz w:val="22"/>
              </w:rPr>
              <w:t>Total Revenue (FY 2026)</w:t>
            </w:r>
          </w:p>
        </w:tc>
        <w:tc>
          <w:tcPr>
            <w:tcW w:type="dxa" w:w="1080"/>
          </w:tcPr>
          <w:p>
            <w:r>
              <w:rPr>
                <w:rFonts w:ascii="Calibri" w:hAnsi="Calibri"/>
                <w:sz w:val="22"/>
              </w:rPr>
              <w:t>$38.12B</w:t>
            </w:r>
          </w:p>
        </w:tc>
        <w:tc>
          <w:tcPr>
            <w:tcW w:type="dxa" w:w="1080"/>
          </w:tcPr>
          <w:p>
            <w:r>
              <w:rPr>
                <w:rFonts w:ascii="Calibri" w:hAnsi="Calibri"/>
                <w:sz w:val="22"/>
              </w:rPr>
              <w:t>$38.74B</w:t>
            </w:r>
          </w:p>
        </w:tc>
        <w:tc>
          <w:tcPr>
            <w:tcW w:type="dxa" w:w="1080"/>
          </w:tcPr>
          <w:p>
            <w:r>
              <w:rPr>
                <w:rFonts w:ascii="Calibri" w:hAnsi="Calibri"/>
                <w:sz w:val="22"/>
              </w:rPr>
              <w:t>+1.6%</w:t>
            </w:r>
          </w:p>
        </w:tc>
        <w:tc>
          <w:tcPr>
            <w:tcW w:type="dxa" w:w="1080"/>
          </w:tcPr>
          <w:p>
            <w:r>
              <w:rPr>
                <w:rFonts w:ascii="Calibri" w:hAnsi="Calibri"/>
                <w:sz w:val="22"/>
              </w:rPr>
              <w:t>Not guided</w:t>
            </w:r>
          </w:p>
        </w:tc>
        <w:tc>
          <w:tcPr>
            <w:tcW w:type="dxa" w:w="1080"/>
          </w:tcPr>
          <w:p>
            <w:r>
              <w:rPr>
                <w:rFonts w:ascii="Calibri" w:hAnsi="Calibri"/>
                <w:sz w:val="22"/>
              </w:rPr>
              <w:t>Not guided</w:t>
            </w:r>
          </w:p>
        </w:tc>
        <w:tc>
          <w:tcPr>
            <w:tcW w:type="dxa" w:w="1080"/>
          </w:tcPr>
          <w:p>
            <w:r>
              <w:rPr>
                <w:rFonts w:ascii="Calibri" w:hAnsi="Calibri"/>
                <w:sz w:val="22"/>
              </w:rPr>
              <w:t>N/A</w:t>
            </w:r>
          </w:p>
        </w:tc>
        <w:tc>
          <w:tcPr>
            <w:tcW w:type="dxa" w:w="1080"/>
          </w:tcPr>
          <w:p>
            <w:r>
              <w:rPr>
                <w:rFonts w:ascii="Calibri" w:hAnsi="Calibri"/>
                <w:sz w:val="22"/>
              </w:rPr>
              <w:t>N/A</w:t>
            </w:r>
          </w:p>
        </w:tc>
      </w:tr>
      <w:tr>
        <w:tc>
          <w:tcPr>
            <w:tcW w:type="dxa" w:w="1080"/>
          </w:tcPr>
          <w:p>
            <w:r>
              <w:rPr>
                <w:rFonts w:ascii="Calibri" w:hAnsi="Calibri"/>
                <w:sz w:val="22"/>
              </w:rPr>
              <w:t>Steel Mills Shipments (FY 2026)</w:t>
            </w:r>
          </w:p>
        </w:tc>
        <w:tc>
          <w:tcPr>
            <w:tcW w:type="dxa" w:w="1080"/>
          </w:tcPr>
          <w:p>
            <w:r>
              <w:rPr>
                <w:rFonts w:ascii="Calibri" w:hAnsi="Calibri"/>
                <w:sz w:val="22"/>
              </w:rPr>
              <w:t>21.65M tons</w:t>
            </w:r>
          </w:p>
        </w:tc>
        <w:tc>
          <w:tcPr>
            <w:tcW w:type="dxa" w:w="1080"/>
          </w:tcPr>
          <w:p>
            <w:r>
              <w:rPr>
                <w:rFonts w:ascii="Calibri" w:hAnsi="Calibri"/>
                <w:sz w:val="22"/>
              </w:rPr>
              <w:t>21.59M tons</w:t>
            </w:r>
          </w:p>
        </w:tc>
        <w:tc>
          <w:tcPr>
            <w:tcW w:type="dxa" w:w="1080"/>
          </w:tcPr>
          <w:p>
            <w:r>
              <w:rPr>
                <w:rFonts w:ascii="Calibri" w:hAnsi="Calibri"/>
                <w:sz w:val="22"/>
              </w:rPr>
              <w:t>−0.3%</w:t>
            </w:r>
          </w:p>
        </w:tc>
        <w:tc>
          <w:tcPr>
            <w:tcW w:type="dxa" w:w="1080"/>
          </w:tcPr>
          <w:p>
            <w:r>
              <w:rPr>
                <w:rFonts w:ascii="Calibri" w:hAnsi="Calibri"/>
                <w:sz w:val="22"/>
              </w:rPr>
              <w:t>&gt;5% growth vs. 2025 (~21.5M+ tons)</w:t>
            </w:r>
          </w:p>
        </w:tc>
        <w:tc>
          <w:tcPr>
            <w:tcW w:type="dxa" w:w="1080"/>
          </w:tcPr>
          <w:p>
            <w:r>
              <w:rPr>
                <w:rFonts w:ascii="Calibri" w:hAnsi="Calibri"/>
                <w:sz w:val="22"/>
              </w:rPr>
              <w:t>Qualitative: “closer to double digits” possible</w:t>
            </w:r>
          </w:p>
        </w:tc>
        <w:tc>
          <w:tcPr>
            <w:tcW w:type="dxa" w:w="1080"/>
          </w:tcPr>
          <w:p>
            <w:r>
              <w:rPr>
                <w:rFonts w:ascii="Calibri" w:hAnsi="Calibri"/>
                <w:sz w:val="22"/>
              </w:rPr>
              <w:t>↑ Tone upgraded</w:t>
            </w:r>
          </w:p>
        </w:tc>
        <w:tc>
          <w:tcPr>
            <w:tcW w:type="dxa" w:w="1080"/>
          </w:tcPr>
          <w:p>
            <w:r>
              <w:rPr>
                <w:rFonts w:ascii="Calibri" w:hAnsi="Calibri"/>
                <w:sz w:val="22"/>
              </w:rPr>
              <w:t>Slightly below optimistic CEO commentary</w:t>
            </w:r>
          </w:p>
        </w:tc>
      </w:tr>
    </w:tbl>
    <w:p>
      <w:r>
        <w:rPr>
          <w:rFonts w:ascii="Calibri" w:hAnsi="Calibri"/>
          <w:color w:val="525866"/>
          <w:sz w:val="22"/>
        </w:rPr>
        <w:t>The revision trajectory is unambiguously positive: FY 2026 EPS consensus has risen from $14.71 (post-Q1 baseline) to $16.80 today, a $2.09 or +14.2% move in under three months, driven by the June 17 pre-announcement and peer confirmations of robust steel demand. The Q2 EPS consensus at $4.46 sits 2% below the adj. guidance midpoint of $4.55, which is a modest cushion — not a stretched bar. Watch for management to formally upgrade the full-year volume growth target from “&gt;5%” toward double digits on the Q2 call, which would be the next catalyst for further estimate revision.</w:t>
      </w:r>
    </w:p>
    <w:p>
      <w:r>
        <w:rPr>
          <w:rFonts w:ascii="Calibri" w:hAnsi="Calibri"/>
          <w:i/>
          <w:color w:val="525866"/>
          <w:sz w:val="22"/>
        </w:rPr>
        <w:t>Sources: Visible Alpha Consensus and Actuals Data (revision history table, weekly frequency, May 1 – July 26, 2026); NUE Q1 2026 Earnings Call Transcript (April 28, 2026); NUE Q2 2026 Earnings Guidance Press Release (June 17, 2026).</w:t>
      </w:r>
    </w:p>
    <w:p>
      <w:r>
        <w:br w:type="page"/>
      </w:r>
    </w:p>
    <w:p>
      <w:pPr>
        <w:pStyle w:val="Heading2"/>
      </w:pPr>
      <w:r>
        <w:rPr>
          <w:rFonts w:ascii="Calibri" w:hAnsi="Calibri"/>
          <w:b/>
          <w:color w:val="3B4259"/>
          <w:sz w:val="28"/>
        </w:rPr>
        <w:t>5. Stock Performance</w:t>
      </w:r>
    </w:p>
    <w:p>
      <w:r>
        <w:rPr>
          <w:rFonts w:ascii="Calibri" w:hAnsi="Calibri"/>
          <w:b/>
          <w:color w:val="525866"/>
          <w:sz w:val="22"/>
        </w:rPr>
        <w:t xml:space="preserve">Key Takeaway: </w:t>
      </w:r>
      <w:r>
        <w:rPr>
          <w:rFonts w:ascii="Calibri" w:hAnsi="Calibri"/>
          <w:color w:val="525866"/>
          <w:sz w:val="22"/>
        </w:rPr>
        <w:t>NUE has rallied ~15.2% since Q1 earnings (Apr 27 close: $215.00 → July 24 close: $247.60), sharply outperforming XME (−15.3% over the same period) and SPY (+3.3%), with the outperformance driven almost entirely by estimate revisions (FY EPS consensus +14.2%) rather than multiple expansion — NTM P/E has actually compressed from ~15.6x to ~14.1x, meaning the stock’s move has been fundamentals-driven and arguably more durable.</w:t>
      </w:r>
    </w:p>
    <w:p>
      <w:r>
        <w:rPr>
          <w:rFonts w:ascii="Calibri" w:hAnsi="Calibri"/>
          <w:color w:val="525866"/>
          <w:sz w:val="22"/>
        </w:rPr>
        <w:t xml:space="preserve">NUE opened at $215.00 on April 27 (Q1 earnings day) and closed at $247.60 on July 24, 2026, a gain of $32.60 or +15.2%. Over the same period, XME declined from $120.20 to $101.77 (−15.3%) and SPY rose from $715.17 to $738.97 (+3.3%). NUE’s outperformance vs. XME of ~30 percentage points is striking and reflects the company-specific earnings upgrade cycle rather than sector tailwinds — XME has been weighed down by non-steel metals (aluminum, copper) and broader macro uncertainty. Key events during the period: (1) </w:t>
      </w:r>
      <w:r>
        <w:rPr>
          <w:rFonts w:ascii="Calibri" w:hAnsi="Calibri"/>
          <w:b/>
          <w:color w:val="525866"/>
          <w:sz w:val="22"/>
        </w:rPr>
        <w:t>June 4 peak at $262.28</w:t>
      </w:r>
      <w:r>
        <w:rPr>
          <w:rFonts w:ascii="Calibri" w:hAnsi="Calibri"/>
          <w:color w:val="525866"/>
          <w:sz w:val="22"/>
        </w:rPr>
        <w:t xml:space="preserve"> following strong sector momentum and tariff enforcement news; (2) </w:t>
      </w:r>
      <w:r>
        <w:rPr>
          <w:rFonts w:ascii="Calibri" w:hAnsi="Calibri"/>
          <w:b/>
          <w:color w:val="525866"/>
          <w:sz w:val="22"/>
        </w:rPr>
        <w:t>June 17 pre-announcement</w:t>
      </w:r>
      <w:r>
        <w:rPr>
          <w:rFonts w:ascii="Calibri" w:hAnsi="Calibri"/>
          <w:color w:val="525866"/>
          <w:sz w:val="22"/>
        </w:rPr>
        <w:t xml:space="preserve"> initially caused a sell-off (stock fell from $252.60 to $243.83 by June 18) as the market parsed the Helion non-cash gain vs. adj. EPS; (3) </w:t>
      </w:r>
      <w:r>
        <w:rPr>
          <w:rFonts w:ascii="Calibri" w:hAnsi="Calibri"/>
          <w:b/>
          <w:color w:val="525866"/>
          <w:sz w:val="22"/>
        </w:rPr>
        <w:t>June 29–July 1 pullback to $219–$222</w:t>
      </w:r>
      <w:r>
        <w:rPr>
          <w:rFonts w:ascii="Calibri" w:hAnsi="Calibri"/>
          <w:color w:val="525866"/>
          <w:sz w:val="22"/>
        </w:rPr>
        <w:t xml:space="preserve"> on Trump’s 50% Canada tariff threat and broader macro risk-off; (4) </w:t>
      </w:r>
      <w:r>
        <w:rPr>
          <w:rFonts w:ascii="Calibri" w:hAnsi="Calibri"/>
          <w:b/>
          <w:color w:val="525866"/>
          <w:sz w:val="22"/>
        </w:rPr>
        <w:t>Recovery to $247.60 by July 24</w:t>
      </w:r>
      <w:r>
        <w:rPr>
          <w:rFonts w:ascii="Calibri" w:hAnsi="Calibri"/>
          <w:color w:val="525866"/>
          <w:sz w:val="22"/>
        </w:rPr>
        <w:t xml:space="preserve"> as STLD and CLF Q2 beats confirmed the steel demand thesis. The NTM EV/EBITDA multiple has compressed from ~8.54x (6 months ago) to ~8.45x today, confirming the rally is earnings-driven, not multiple-driven.</w:t>
      </w:r>
    </w:p>
    <w:tbl>
      <w:tblPr>
        <w:tblStyle w:val="TableGrid"/>
        <w:tblW w:type="auto" w:w="0"/>
        <w:tblLook w:firstColumn="1" w:firstRow="1" w:lastColumn="0" w:lastRow="0" w:noHBand="0" w:noVBand="1" w:val="04A0"/>
      </w:tblPr>
      <w:tblGrid>
        <w:gridCol w:w="1440"/>
        <w:gridCol w:w="1440"/>
        <w:gridCol w:w="1440"/>
        <w:gridCol w:w="1440"/>
        <w:gridCol w:w="1440"/>
        <w:gridCol w:w="1440"/>
      </w:tblGrid>
      <w:tr>
        <w:tc>
          <w:tcPr>
            <w:tcW w:type="dxa" w:w="1440"/>
            <w:shd w:val="clear" w:color="auto" w:fill="3B4259"/>
          </w:tcPr>
          <w:p>
            <w:r>
              <w:rPr>
                <w:rFonts w:ascii="Calibri" w:hAnsi="Calibri"/>
                <w:b/>
                <w:color w:val="FFFFFF"/>
                <w:sz w:val="22"/>
              </w:rPr>
              <w:t>Date</w:t>
            </w:r>
          </w:p>
        </w:tc>
        <w:tc>
          <w:tcPr>
            <w:tcW w:type="dxa" w:w="1440"/>
            <w:shd w:val="clear" w:color="auto" w:fill="3B4259"/>
          </w:tcPr>
          <w:p>
            <w:r>
              <w:rPr>
                <w:rFonts w:ascii="Calibri" w:hAnsi="Calibri"/>
                <w:b/>
                <w:color w:val="FFFFFF"/>
                <w:sz w:val="22"/>
              </w:rPr>
              <w:t>NUE Price</w:t>
            </w:r>
          </w:p>
        </w:tc>
        <w:tc>
          <w:tcPr>
            <w:tcW w:type="dxa" w:w="1440"/>
            <w:shd w:val="clear" w:color="auto" w:fill="3B4259"/>
          </w:tcPr>
          <w:p>
            <w:r>
              <w:rPr>
                <w:rFonts w:ascii="Calibri" w:hAnsi="Calibri"/>
                <w:b/>
                <w:color w:val="FFFFFF"/>
                <w:sz w:val="22"/>
              </w:rPr>
              <w:t>NUE Indexed (Base=100)</w:t>
            </w:r>
          </w:p>
        </w:tc>
        <w:tc>
          <w:tcPr>
            <w:tcW w:type="dxa" w:w="1440"/>
            <w:shd w:val="clear" w:color="auto" w:fill="3B4259"/>
          </w:tcPr>
          <w:p>
            <w:r>
              <w:rPr>
                <w:rFonts w:ascii="Calibri" w:hAnsi="Calibri"/>
                <w:b/>
                <w:color w:val="FFFFFF"/>
                <w:sz w:val="22"/>
              </w:rPr>
              <w:t>XME Indexed (Base=100)</w:t>
            </w:r>
          </w:p>
        </w:tc>
        <w:tc>
          <w:tcPr>
            <w:tcW w:type="dxa" w:w="1440"/>
            <w:shd w:val="clear" w:color="auto" w:fill="3B4259"/>
          </w:tcPr>
          <w:p>
            <w:r>
              <w:rPr>
                <w:rFonts w:ascii="Calibri" w:hAnsi="Calibri"/>
                <w:b/>
                <w:color w:val="FFFFFF"/>
                <w:sz w:val="22"/>
              </w:rPr>
              <w:t>SPY Indexed (Base=100)</w:t>
            </w:r>
          </w:p>
        </w:tc>
        <w:tc>
          <w:tcPr>
            <w:tcW w:type="dxa" w:w="1440"/>
            <w:shd w:val="clear" w:color="auto" w:fill="3B4259"/>
          </w:tcPr>
          <w:p>
            <w:r>
              <w:rPr>
                <w:rFonts w:ascii="Calibri" w:hAnsi="Calibri"/>
                <w:b/>
                <w:color w:val="FFFFFF"/>
                <w:sz w:val="22"/>
              </w:rPr>
              <w:t>Key Event</w:t>
            </w:r>
          </w:p>
        </w:tc>
      </w:tr>
      <w:tr>
        <w:tc>
          <w:tcPr>
            <w:tcW w:type="dxa" w:w="1440"/>
          </w:tcPr>
          <w:p>
            <w:r>
              <w:rPr>
                <w:rFonts w:ascii="Calibri" w:hAnsi="Calibri"/>
                <w:sz w:val="22"/>
              </w:rPr>
              <w:t>Apr 27, 2026 (Q1 Earnings Day)</w:t>
            </w:r>
          </w:p>
        </w:tc>
        <w:tc>
          <w:tcPr>
            <w:tcW w:type="dxa" w:w="1440"/>
          </w:tcPr>
          <w:p>
            <w:r>
              <w:rPr>
                <w:rFonts w:ascii="Calibri" w:hAnsi="Calibri"/>
                <w:sz w:val="22"/>
              </w:rPr>
              <w:t>$215.00</w:t>
            </w:r>
          </w:p>
        </w:tc>
        <w:tc>
          <w:tcPr>
            <w:tcW w:type="dxa" w:w="1440"/>
          </w:tcPr>
          <w:p>
            <w:r>
              <w:rPr>
                <w:rFonts w:ascii="Calibri" w:hAnsi="Calibri"/>
                <w:sz w:val="22"/>
              </w:rPr>
              <w:t>100.0</w:t>
            </w:r>
          </w:p>
        </w:tc>
        <w:tc>
          <w:tcPr>
            <w:tcW w:type="dxa" w:w="1440"/>
          </w:tcPr>
          <w:p>
            <w:r>
              <w:rPr>
                <w:rFonts w:ascii="Calibri" w:hAnsi="Calibri"/>
                <w:sz w:val="22"/>
              </w:rPr>
              <w:t>100.0</w:t>
            </w:r>
          </w:p>
        </w:tc>
        <w:tc>
          <w:tcPr>
            <w:tcW w:type="dxa" w:w="1440"/>
          </w:tcPr>
          <w:p>
            <w:r>
              <w:rPr>
                <w:rFonts w:ascii="Calibri" w:hAnsi="Calibri"/>
                <w:sz w:val="22"/>
              </w:rPr>
              <w:t>100.0</w:t>
            </w:r>
          </w:p>
        </w:tc>
        <w:tc>
          <w:tcPr>
            <w:tcW w:type="dxa" w:w="1440"/>
          </w:tcPr>
          <w:p>
            <w:r>
              <w:rPr>
                <w:rFonts w:ascii="Calibri" w:hAnsi="Calibri"/>
                <w:sz w:val="22"/>
              </w:rPr>
              <w:t>Q1 2026 earnings beat; record shipments</w:t>
            </w:r>
          </w:p>
        </w:tc>
      </w:tr>
      <w:tr>
        <w:tc>
          <w:tcPr>
            <w:tcW w:type="dxa" w:w="1440"/>
          </w:tcPr>
          <w:p>
            <w:r>
              <w:rPr>
                <w:rFonts w:ascii="Calibri" w:hAnsi="Calibri"/>
                <w:sz w:val="22"/>
              </w:rPr>
              <w:t>May 6, 2026</w:t>
            </w:r>
          </w:p>
        </w:tc>
        <w:tc>
          <w:tcPr>
            <w:tcW w:type="dxa" w:w="1440"/>
          </w:tcPr>
          <w:p>
            <w:r>
              <w:rPr>
                <w:rFonts w:ascii="Calibri" w:hAnsi="Calibri"/>
                <w:sz w:val="22"/>
              </w:rPr>
              <w:t>$234.22</w:t>
            </w:r>
          </w:p>
        </w:tc>
        <w:tc>
          <w:tcPr>
            <w:tcW w:type="dxa" w:w="1440"/>
          </w:tcPr>
          <w:p>
            <w:r>
              <w:rPr>
                <w:rFonts w:ascii="Calibri" w:hAnsi="Calibri"/>
                <w:sz w:val="22"/>
              </w:rPr>
              <w:t>108.9</w:t>
            </w:r>
          </w:p>
        </w:tc>
        <w:tc>
          <w:tcPr>
            <w:tcW w:type="dxa" w:w="1440"/>
          </w:tcPr>
          <w:p>
            <w:r>
              <w:rPr>
                <w:rFonts w:ascii="Calibri" w:hAnsi="Calibri"/>
                <w:sz w:val="22"/>
              </w:rPr>
              <w:t>103.3</w:t>
            </w:r>
          </w:p>
        </w:tc>
        <w:tc>
          <w:tcPr>
            <w:tcW w:type="dxa" w:w="1440"/>
          </w:tcPr>
          <w:p>
            <w:r>
              <w:rPr>
                <w:rFonts w:ascii="Calibri" w:hAnsi="Calibri"/>
                <w:sz w:val="22"/>
              </w:rPr>
              <w:t>102.6</w:t>
            </w:r>
          </w:p>
        </w:tc>
        <w:tc>
          <w:tcPr>
            <w:tcW w:type="dxa" w:w="1440"/>
          </w:tcPr>
          <w:p>
            <w:r>
              <w:rPr>
                <w:rFonts w:ascii="Calibri" w:hAnsi="Calibri"/>
                <w:sz w:val="22"/>
              </w:rPr>
              <w:t>Post-earnings rally; sector momentum</w:t>
            </w:r>
          </w:p>
        </w:tc>
      </w:tr>
      <w:tr>
        <w:tc>
          <w:tcPr>
            <w:tcW w:type="dxa" w:w="1440"/>
          </w:tcPr>
          <w:p>
            <w:r>
              <w:rPr>
                <w:rFonts w:ascii="Calibri" w:hAnsi="Calibri"/>
                <w:sz w:val="22"/>
              </w:rPr>
              <w:t>Jun 4, 2026 (Peak)</w:t>
            </w:r>
          </w:p>
        </w:tc>
        <w:tc>
          <w:tcPr>
            <w:tcW w:type="dxa" w:w="1440"/>
          </w:tcPr>
          <w:p>
            <w:r>
              <w:rPr>
                <w:rFonts w:ascii="Calibri" w:hAnsi="Calibri"/>
                <w:sz w:val="22"/>
              </w:rPr>
              <w:t>$262.28</w:t>
            </w:r>
          </w:p>
        </w:tc>
        <w:tc>
          <w:tcPr>
            <w:tcW w:type="dxa" w:w="1440"/>
          </w:tcPr>
          <w:p>
            <w:r>
              <w:rPr>
                <w:rFonts w:ascii="Calibri" w:hAnsi="Calibri"/>
                <w:sz w:val="22"/>
              </w:rPr>
              <w:t>122.0</w:t>
            </w:r>
          </w:p>
        </w:tc>
        <w:tc>
          <w:tcPr>
            <w:tcW w:type="dxa" w:w="1440"/>
          </w:tcPr>
          <w:p>
            <w:r>
              <w:rPr>
                <w:rFonts w:ascii="Calibri" w:hAnsi="Calibri"/>
                <w:sz w:val="22"/>
              </w:rPr>
              <w:t>107.1</w:t>
            </w:r>
          </w:p>
        </w:tc>
        <w:tc>
          <w:tcPr>
            <w:tcW w:type="dxa" w:w="1440"/>
          </w:tcPr>
          <w:p>
            <w:r>
              <w:rPr>
                <w:rFonts w:ascii="Calibri" w:hAnsi="Calibri"/>
                <w:sz w:val="22"/>
              </w:rPr>
              <w:t>105.9</w:t>
            </w:r>
          </w:p>
        </w:tc>
        <w:tc>
          <w:tcPr>
            <w:tcW w:type="dxa" w:w="1440"/>
          </w:tcPr>
          <w:p>
            <w:r>
              <w:rPr>
                <w:rFonts w:ascii="Calibri" w:hAnsi="Calibri"/>
                <w:sz w:val="22"/>
              </w:rPr>
              <w:t>52-week high; tariff enforcement optimism</w:t>
            </w:r>
          </w:p>
        </w:tc>
      </w:tr>
      <w:tr>
        <w:tc>
          <w:tcPr>
            <w:tcW w:type="dxa" w:w="1440"/>
          </w:tcPr>
          <w:p>
            <w:r>
              <w:rPr>
                <w:rFonts w:ascii="Calibri" w:hAnsi="Calibri"/>
                <w:sz w:val="22"/>
              </w:rPr>
              <w:t>Jun 17, 2026</w:t>
            </w:r>
          </w:p>
        </w:tc>
        <w:tc>
          <w:tcPr>
            <w:tcW w:type="dxa" w:w="1440"/>
          </w:tcPr>
          <w:p>
            <w:r>
              <w:rPr>
                <w:rFonts w:ascii="Calibri" w:hAnsi="Calibri"/>
                <w:sz w:val="22"/>
              </w:rPr>
              <w:t>$252.60</w:t>
            </w:r>
          </w:p>
        </w:tc>
        <w:tc>
          <w:tcPr>
            <w:tcW w:type="dxa" w:w="1440"/>
          </w:tcPr>
          <w:p>
            <w:r>
              <w:rPr>
                <w:rFonts w:ascii="Calibri" w:hAnsi="Calibri"/>
                <w:sz w:val="22"/>
              </w:rPr>
              <w:t>117.5</w:t>
            </w:r>
          </w:p>
        </w:tc>
        <w:tc>
          <w:tcPr>
            <w:tcW w:type="dxa" w:w="1440"/>
          </w:tcPr>
          <w:p>
            <w:r>
              <w:rPr>
                <w:rFonts w:ascii="Calibri" w:hAnsi="Calibri"/>
                <w:sz w:val="22"/>
              </w:rPr>
              <w:t>98.5</w:t>
            </w:r>
          </w:p>
        </w:tc>
        <w:tc>
          <w:tcPr>
            <w:tcW w:type="dxa" w:w="1440"/>
          </w:tcPr>
          <w:p>
            <w:r>
              <w:rPr>
                <w:rFonts w:ascii="Calibri" w:hAnsi="Calibri"/>
                <w:sz w:val="22"/>
              </w:rPr>
              <w:t>103.6</w:t>
            </w:r>
          </w:p>
        </w:tc>
        <w:tc>
          <w:tcPr>
            <w:tcW w:type="dxa" w:w="1440"/>
          </w:tcPr>
          <w:p>
            <w:r>
              <w:rPr>
                <w:rFonts w:ascii="Calibri" w:hAnsi="Calibri"/>
                <w:sz w:val="22"/>
              </w:rPr>
              <w:t>Q2 2026 EPS pre-announcement ($4.50–$4.60 adj.)</w:t>
            </w:r>
          </w:p>
        </w:tc>
      </w:tr>
      <w:tr>
        <w:tc>
          <w:tcPr>
            <w:tcW w:type="dxa" w:w="1440"/>
          </w:tcPr>
          <w:p>
            <w:r>
              <w:rPr>
                <w:rFonts w:ascii="Calibri" w:hAnsi="Calibri"/>
                <w:sz w:val="22"/>
              </w:rPr>
              <w:t>Jun 29, 2026</w:t>
            </w:r>
          </w:p>
        </w:tc>
        <w:tc>
          <w:tcPr>
            <w:tcW w:type="dxa" w:w="1440"/>
          </w:tcPr>
          <w:p>
            <w:r>
              <w:rPr>
                <w:rFonts w:ascii="Calibri" w:hAnsi="Calibri"/>
                <w:sz w:val="22"/>
              </w:rPr>
              <w:t>$228.58</w:t>
            </w:r>
          </w:p>
        </w:tc>
        <w:tc>
          <w:tcPr>
            <w:tcW w:type="dxa" w:w="1440"/>
          </w:tcPr>
          <w:p>
            <w:r>
              <w:rPr>
                <w:rFonts w:ascii="Calibri" w:hAnsi="Calibri"/>
                <w:sz w:val="22"/>
              </w:rPr>
              <w:t>106.3</w:t>
            </w:r>
          </w:p>
        </w:tc>
        <w:tc>
          <w:tcPr>
            <w:tcW w:type="dxa" w:w="1440"/>
          </w:tcPr>
          <w:p>
            <w:r>
              <w:rPr>
                <w:rFonts w:ascii="Calibri" w:hAnsi="Calibri"/>
                <w:sz w:val="22"/>
              </w:rPr>
              <w:t>88.6</w:t>
            </w:r>
          </w:p>
        </w:tc>
        <w:tc>
          <w:tcPr>
            <w:tcW w:type="dxa" w:w="1440"/>
          </w:tcPr>
          <w:p>
            <w:r>
              <w:rPr>
                <w:rFonts w:ascii="Calibri" w:hAnsi="Calibri"/>
                <w:sz w:val="22"/>
              </w:rPr>
              <w:t>103.6</w:t>
            </w:r>
          </w:p>
        </w:tc>
        <w:tc>
          <w:tcPr>
            <w:tcW w:type="dxa" w:w="1440"/>
          </w:tcPr>
          <w:p>
            <w:r>
              <w:rPr>
                <w:rFonts w:ascii="Calibri" w:hAnsi="Calibri"/>
                <w:sz w:val="22"/>
              </w:rPr>
              <w:t>Trump 50% Canada tariff threat (Jul 20 announcement); macro risk-off</w:t>
            </w:r>
          </w:p>
        </w:tc>
      </w:tr>
      <w:tr>
        <w:tc>
          <w:tcPr>
            <w:tcW w:type="dxa" w:w="1440"/>
          </w:tcPr>
          <w:p>
            <w:r>
              <w:rPr>
                <w:rFonts w:ascii="Calibri" w:hAnsi="Calibri"/>
                <w:sz w:val="22"/>
              </w:rPr>
              <w:t>Jul 21, 2026</w:t>
            </w:r>
          </w:p>
        </w:tc>
        <w:tc>
          <w:tcPr>
            <w:tcW w:type="dxa" w:w="1440"/>
          </w:tcPr>
          <w:p>
            <w:r>
              <w:rPr>
                <w:rFonts w:ascii="Calibri" w:hAnsi="Calibri"/>
                <w:sz w:val="22"/>
              </w:rPr>
              <w:t>$233.20</w:t>
            </w:r>
          </w:p>
        </w:tc>
        <w:tc>
          <w:tcPr>
            <w:tcW w:type="dxa" w:w="1440"/>
          </w:tcPr>
          <w:p>
            <w:r>
              <w:rPr>
                <w:rFonts w:ascii="Calibri" w:hAnsi="Calibri"/>
                <w:sz w:val="22"/>
              </w:rPr>
              <w:t>108.5</w:t>
            </w:r>
          </w:p>
        </w:tc>
        <w:tc>
          <w:tcPr>
            <w:tcW w:type="dxa" w:w="1440"/>
          </w:tcPr>
          <w:p>
            <w:r>
              <w:rPr>
                <w:rFonts w:ascii="Calibri" w:hAnsi="Calibri"/>
                <w:sz w:val="22"/>
              </w:rPr>
              <w:t>84.5</w:t>
            </w:r>
          </w:p>
        </w:tc>
        <w:tc>
          <w:tcPr>
            <w:tcW w:type="dxa" w:w="1440"/>
          </w:tcPr>
          <w:p>
            <w:r>
              <w:rPr>
                <w:rFonts w:ascii="Calibri" w:hAnsi="Calibri"/>
                <w:sz w:val="22"/>
              </w:rPr>
              <w:t>104.6</w:t>
            </w:r>
          </w:p>
        </w:tc>
        <w:tc>
          <w:tcPr>
            <w:tcW w:type="dxa" w:w="1440"/>
          </w:tcPr>
          <w:p>
            <w:r>
              <w:rPr>
                <w:rFonts w:ascii="Calibri" w:hAnsi="Calibri"/>
                <w:sz w:val="22"/>
              </w:rPr>
              <w:t>STLD Q2 2026 beat (EBITDA $921M vs. $884M est.); NUE read-through positive</w:t>
            </w:r>
          </w:p>
        </w:tc>
      </w:tr>
      <w:tr>
        <w:tc>
          <w:tcPr>
            <w:tcW w:type="dxa" w:w="1440"/>
          </w:tcPr>
          <w:p>
            <w:r>
              <w:rPr>
                <w:rFonts w:ascii="Calibri" w:hAnsi="Calibri"/>
                <w:sz w:val="22"/>
              </w:rPr>
              <w:t>Jul 24, 2026 (Latest)</w:t>
            </w:r>
          </w:p>
        </w:tc>
        <w:tc>
          <w:tcPr>
            <w:tcW w:type="dxa" w:w="1440"/>
          </w:tcPr>
          <w:p>
            <w:r>
              <w:rPr>
                <w:rFonts w:ascii="Calibri" w:hAnsi="Calibri"/>
                <w:sz w:val="22"/>
              </w:rPr>
              <w:t>$247.60</w:t>
            </w:r>
          </w:p>
        </w:tc>
        <w:tc>
          <w:tcPr>
            <w:tcW w:type="dxa" w:w="1440"/>
          </w:tcPr>
          <w:p>
            <w:r>
              <w:rPr>
                <w:rFonts w:ascii="Calibri" w:hAnsi="Calibri"/>
                <w:sz w:val="22"/>
              </w:rPr>
              <w:t>115.2</w:t>
            </w:r>
          </w:p>
        </w:tc>
        <w:tc>
          <w:tcPr>
            <w:tcW w:type="dxa" w:w="1440"/>
          </w:tcPr>
          <w:p>
            <w:r>
              <w:rPr>
                <w:rFonts w:ascii="Calibri" w:hAnsi="Calibri"/>
                <w:sz w:val="22"/>
              </w:rPr>
              <w:t>84.7</w:t>
            </w:r>
          </w:p>
        </w:tc>
        <w:tc>
          <w:tcPr>
            <w:tcW w:type="dxa" w:w="1440"/>
          </w:tcPr>
          <w:p>
            <w:r>
              <w:rPr>
                <w:rFonts w:ascii="Calibri" w:hAnsi="Calibri"/>
                <w:sz w:val="22"/>
              </w:rPr>
              <w:t>103.3</w:t>
            </w:r>
          </w:p>
        </w:tc>
        <w:tc>
          <w:tcPr>
            <w:tcW w:type="dxa" w:w="1440"/>
          </w:tcPr>
          <w:p>
            <w:r>
              <w:rPr>
                <w:rFonts w:ascii="Calibri" w:hAnsi="Calibri"/>
                <w:sz w:val="22"/>
              </w:rPr>
              <w:t>CLF Q2 2026 beat; NUE pre-earnings positioning</w:t>
            </w:r>
          </w:p>
        </w:tc>
      </w:tr>
    </w:tbl>
    <w:p>
      <w:r>
        <w:rPr>
          <w:rFonts w:ascii="Calibri" w:hAnsi="Calibri"/>
          <w:i/>
          <w:color w:val="525866"/>
          <w:sz w:val="22"/>
        </w:rPr>
        <w:t>Note: Indexed to 100 at April 27, 2026 close. NUE benchmark: XME (SPDR S&amp;P Metals &amp; Mining ETF), appropriate for NUE’s sub-sector as a diversified metals &amp; mining ETF with significant steel exposure. Source: Stock Price Data (Yahoo Finance).</w:t>
      </w:r>
    </w:p>
    <w:p>
      <w:r>
        <w:br w:type="page"/>
      </w:r>
    </w:p>
    <w:p>
      <w:pPr>
        <w:pStyle w:val="Heading2"/>
      </w:pPr>
      <w:r>
        <w:rPr>
          <w:rFonts w:ascii="Calibri" w:hAnsi="Calibri"/>
          <w:b/>
          <w:color w:val="3B4259"/>
          <w:sz w:val="28"/>
        </w:rPr>
        <w:t>6. Material News &amp; Developments</w:t>
      </w:r>
    </w:p>
    <w:p>
      <w:r>
        <w:rPr>
          <w:rFonts w:ascii="Calibri" w:hAnsi="Calibri"/>
          <w:b/>
          <w:color w:val="525866"/>
          <w:sz w:val="22"/>
        </w:rPr>
        <w:t xml:space="preserve">Key Takeaway: </w:t>
      </w:r>
      <w:r>
        <w:rPr>
          <w:rFonts w:ascii="Calibri" w:hAnsi="Calibri"/>
          <w:color w:val="525866"/>
          <w:sz w:val="22"/>
        </w:rPr>
        <w:t>The most important development since Q1 earnings is the June 17 formal Q2 EPS pre-announcement ($4.50–$4.60 adj.), which removed most of the uncertainty around the print; the secondary risk is the escalating Canada tariff situation (Trump threatened 50% tariffs on July 20), which could disrupt USMCA steel flows and scrap supply chains, though near-term impact on Q2 is minimal.</w:t>
      </w:r>
    </w:p>
    <w:p>
      <w:pPr>
        <w:pStyle w:val="ListBullet"/>
        <w:ind w:left="360" w:hanging="360"/>
      </w:pPr>
      <w:r>
        <w:rPr>
          <w:rFonts w:ascii="Calibri" w:hAnsi="Calibri"/>
          <w:b/>
          <w:color w:val="525866"/>
          <w:sz w:val="22"/>
        </w:rPr>
        <w:t xml:space="preserve">June 17, 2026 — NUE issues formal Q2 2026 EPS pre-announcement: </w:t>
      </w:r>
      <w:r>
        <w:rPr>
          <w:rFonts w:ascii="Calibri" w:hAnsi="Calibri"/>
          <w:color w:val="525866"/>
          <w:sz w:val="22"/>
        </w:rPr>
        <w:t>$4.50–$4.60 adj. EPS ($4.70–$4.80 incl. ~$0.20 Helion non-cash gain). Includes ~$130M raw material cost refund benefiting steel mills COGS and ~$61M Helion investment gain from a capital financing round. All three segments expected to improve sequentially. Implication: Removes earnings uncertainty; sets a clear, beatable bar for Q2.</w:t>
      </w:r>
    </w:p>
    <w:p>
      <w:pPr>
        <w:pStyle w:val="ListBullet"/>
        <w:ind w:left="360" w:hanging="360"/>
      </w:pPr>
      <w:r>
        <w:rPr>
          <w:rFonts w:ascii="Calibri" w:hAnsi="Calibri"/>
          <w:b/>
          <w:color w:val="525866"/>
          <w:sz w:val="22"/>
        </w:rPr>
        <w:t xml:space="preserve">June 22, 2026 — Executive Needham to retire; receives $6.1M+ separation package (8-K/A): </w:t>
      </w:r>
      <w:r>
        <w:rPr>
          <w:rFonts w:ascii="Calibri" w:hAnsi="Calibri"/>
          <w:color w:val="525866"/>
          <w:sz w:val="22"/>
        </w:rPr>
        <w:t>Daniel R. Needham (EVP) departure formalized via separation agreement. Implication: Leadership transition ongoing alongside CFO change (Jack Sullivan to CFO, Steve Laxton to EVP Strategy); management continuity risk is modest but worth monitoring on the Q2 call.</w:t>
      </w:r>
    </w:p>
    <w:p>
      <w:pPr>
        <w:pStyle w:val="ListBullet"/>
        <w:ind w:left="360" w:hanging="360"/>
      </w:pPr>
      <w:r>
        <w:rPr>
          <w:rFonts w:ascii="Calibri" w:hAnsi="Calibri"/>
          <w:b/>
          <w:color w:val="525866"/>
          <w:sz w:val="22"/>
        </w:rPr>
        <w:t xml:space="preserve">July 20, 2026 — Trump threatens 50% tariffs on most Canadian goods in 30 days: </w:t>
      </w:r>
      <w:r>
        <w:rPr>
          <w:rFonts w:ascii="Calibri" w:hAnsi="Calibri"/>
          <w:color w:val="525866"/>
          <w:sz w:val="22"/>
        </w:rPr>
        <w:t>Administration cited “discriminatory” Canadian trade barriers. Implication: USMCA renegotiation risk is the key wildcard for NUE — Canadian steel subsidies and back-door import channels are a concern management has flagged; however, the 50% Section 232 tariff on all steel imports remains in place and import market share has already declined to ~15%. Near-term Q2 impact is minimal; watch for management commentary on USMCA on the Q2 call.</w:t>
      </w:r>
    </w:p>
    <w:p>
      <w:pPr>
        <w:pStyle w:val="ListBullet"/>
        <w:ind w:left="360" w:hanging="360"/>
      </w:pPr>
      <w:r>
        <w:rPr>
          <w:rFonts w:ascii="Calibri" w:hAnsi="Calibri"/>
          <w:b/>
          <w:color w:val="525866"/>
          <w:sz w:val="22"/>
        </w:rPr>
        <w:t xml:space="preserve">July 21, 2026 — Steel Dynamics (STLD) reports Q2 2026 beat: </w:t>
      </w:r>
      <w:r>
        <w:rPr>
          <w:rFonts w:ascii="Calibri" w:hAnsi="Calibri"/>
          <w:color w:val="525866"/>
          <w:sz w:val="22"/>
        </w:rPr>
        <w:t>EBITDA $921M vs. $884M consensus; revenue $6.1B vs. $5.58B est.; record quarterly steel shipments of 3.7M tons; avg. selling prices +$105/ton sequentially. Implication: Strong positive read-through for NUE — confirms higher ASPs, solid demand, and lean inventories across the steel sector.</w:t>
      </w:r>
    </w:p>
    <w:p>
      <w:pPr>
        <w:pStyle w:val="ListBullet"/>
        <w:ind w:left="360" w:hanging="360"/>
      </w:pPr>
      <w:r>
        <w:rPr>
          <w:rFonts w:ascii="Calibri" w:hAnsi="Calibri"/>
          <w:b/>
          <w:color w:val="525866"/>
          <w:sz w:val="22"/>
        </w:rPr>
        <w:t xml:space="preserve">July 23, 2026 — Cleveland-Cliffs (CLF) reports Q2 2026 beat: </w:t>
      </w:r>
      <w:r>
        <w:rPr>
          <w:rFonts w:ascii="Calibri" w:hAnsi="Calibri"/>
          <w:color w:val="525866"/>
          <w:sz w:val="22"/>
        </w:rPr>
        <w:t>Adj. EBITDA $286M (best quarter in two years); avg. selling price +$76/ton sequentially; Q3 2026 EBITDA guided to ~$575M (more than double Q2). Implication: Confirms pricing momentum and demand recovery in flat-rolled steel; CLF’s automotive shipments at highest in two years is a positive for NUE’s sheet business.</w:t>
      </w:r>
    </w:p>
    <w:p>
      <w:pPr>
        <w:pStyle w:val="ListBullet"/>
        <w:ind w:left="360" w:hanging="360"/>
      </w:pPr>
      <w:r>
        <w:rPr>
          <w:rFonts w:ascii="Calibri" w:hAnsi="Calibri"/>
          <w:b/>
          <w:color w:val="525866"/>
          <w:sz w:val="22"/>
        </w:rPr>
        <w:t xml:space="preserve">July 23, 2026 — Needham Daniel R. files Form 144 (intended sale of ~$4.2M): </w:t>
      </w:r>
      <w:r>
        <w:rPr>
          <w:rFonts w:ascii="Calibri" w:hAnsi="Calibri"/>
          <w:color w:val="525866"/>
          <w:sz w:val="22"/>
        </w:rPr>
        <w:t>Filed July 23, 2026. Implication: Departing executive monetizing shares ahead of retirement; not a signal of fundamental concern, but notable given the timing ahead of earnings.</w:t>
      </w:r>
    </w:p>
    <w:p>
      <w:pPr>
        <w:pStyle w:val="ListBullet"/>
        <w:ind w:left="360" w:hanging="360"/>
      </w:pPr>
      <w:r>
        <w:rPr>
          <w:rFonts w:ascii="Calibri" w:hAnsi="Calibri"/>
          <w:b/>
          <w:color w:val="525866"/>
          <w:sz w:val="22"/>
        </w:rPr>
        <w:t xml:space="preserve">July 24–25, 2026 — New U.S. tariffs on 60 trading partners (10–12.5% forced-labor tariffs): </w:t>
      </w:r>
      <w:r>
        <w:rPr>
          <w:rFonts w:ascii="Calibri" w:hAnsi="Calibri"/>
          <w:color w:val="525866"/>
          <w:sz w:val="22"/>
        </w:rPr>
        <w:t>Replaces expired 10% global tariff with a more durable Section 301 legal framework. Implication: Broadly supportive of domestic steel producers by limiting import competition; adds to the trade policy tailwind for NUE.</w:t>
      </w:r>
    </w:p>
    <w:p>
      <w:pPr>
        <w:pStyle w:val="ListBullet"/>
        <w:ind w:left="360" w:hanging="360"/>
      </w:pPr>
      <w:r>
        <w:rPr>
          <w:rFonts w:ascii="Calibri" w:hAnsi="Calibri"/>
          <w:b/>
          <w:color w:val="525866"/>
          <w:sz w:val="22"/>
        </w:rPr>
        <w:t xml:space="preserve">July 14, 2026 — NUE announces Q2 2026 conference call date: </w:t>
      </w:r>
      <w:r>
        <w:rPr>
          <w:rFonts w:ascii="Calibri" w:hAnsi="Calibri"/>
          <w:color w:val="525866"/>
          <w:sz w:val="22"/>
        </w:rPr>
        <w:t>Earnings after market close July 27; call July 28 at 10:00 a.m. ET. Implication: Confirms timeline; no surprises.</w:t>
      </w:r>
    </w:p>
    <w:p>
      <w:pPr>
        <w:pStyle w:val="ListBullet"/>
        <w:ind w:left="360" w:hanging="360"/>
      </w:pPr>
      <w:r>
        <w:rPr>
          <w:rFonts w:ascii="Calibri" w:hAnsi="Calibri"/>
          <w:b/>
          <w:color w:val="525866"/>
          <w:sz w:val="22"/>
        </w:rPr>
        <w:t xml:space="preserve">May–June 2026 — Cluster of insider open-market sales by multiple EVPs: </w:t>
      </w:r>
      <w:r>
        <w:rPr>
          <w:rFonts w:ascii="Calibri" w:hAnsi="Calibri"/>
          <w:color w:val="525866"/>
          <w:sz w:val="22"/>
        </w:rPr>
        <w:t>Eight executives sold shares ranging from 2,240 to 33,068 shares each (see Insider Activity section). Implication: Broad-based selling at elevated prices ($220–$260 range) is notable but not alarming given the stock’s strong run; no open-market buys.</w:t>
      </w:r>
    </w:p>
    <w:p>
      <w:r>
        <w:br w:type="page"/>
      </w:r>
    </w:p>
    <w:p>
      <w:pPr>
        <w:pStyle w:val="Heading2"/>
      </w:pPr>
      <w:r>
        <w:rPr>
          <w:rFonts w:ascii="Calibri" w:hAnsi="Calibri"/>
          <w:b/>
          <w:color w:val="3B4259"/>
          <w:sz w:val="28"/>
        </w:rPr>
        <w:t>7. Peer Commentaries &amp; Read-Throughs (Last 60 Days)</w:t>
      </w:r>
    </w:p>
    <w:p>
      <w:r>
        <w:rPr>
          <w:rFonts w:ascii="Calibri" w:hAnsi="Calibri"/>
          <w:b/>
          <w:color w:val="525866"/>
          <w:sz w:val="22"/>
        </w:rPr>
        <w:t xml:space="preserve">Key Takeaway: </w:t>
      </w:r>
      <w:r>
        <w:rPr>
          <w:rFonts w:ascii="Calibri" w:hAnsi="Calibri"/>
          <w:color w:val="525866"/>
          <w:sz w:val="22"/>
        </w:rPr>
        <w:t>All three major steel/metals peers that have reported in the last 60 days — STLD (Q2 2026), CLF (Q2 2026), and CMC (fiscal Q3 2026, ending May 2026) — delivered constructive forward commentary pointing to higher ASPs, solid volumes, lean inventories, and robust non-residential construction demand; the read-through for NUE’s Q2 2026 is unambiguously positive, with the primary risk being the pace of import normalization and USMCA uncertainty.</w:t>
      </w:r>
    </w:p>
    <w:p>
      <w:r>
        <w:rPr>
          <w:rFonts w:ascii="Calibri" w:hAnsi="Calibri"/>
          <w:b/>
          <w:i/>
          <w:color w:val="525866"/>
          <w:sz w:val="22"/>
        </w:rPr>
        <w:t xml:space="preserve">Note on scope: </w:t>
      </w:r>
      <w:r>
        <w:rPr>
          <w:rFonts w:ascii="Calibri" w:hAnsi="Calibri"/>
          <w:i/>
          <w:color w:val="525866"/>
          <w:sz w:val="22"/>
        </w:rPr>
        <w:t>All commentary below is strictly from each peer’s forward-looking statements about their current or upcoming reporting period (i.e., Q2 2026 for STLD and CLF, and fiscal Q4 2026 for CMC). Retrospective commentary about completed periods has been excluded.</w:t>
      </w:r>
    </w:p>
    <w:p>
      <w:pPr>
        <w:pStyle w:val="Heading3"/>
      </w:pPr>
      <w:r>
        <w:rPr>
          <w:rFonts w:ascii="Calibri" w:hAnsi="Calibri"/>
          <w:b/>
          <w:color w:val="3B4259"/>
          <w:sz w:val="24"/>
        </w:rPr>
        <w:t>7.1 Steel Dynamics (STLD) — Q2 2026 Earnings Call (July 21, 2026)</w:t>
      </w:r>
    </w:p>
    <w:p>
      <w:r>
        <w:rPr>
          <w:rFonts w:ascii="Calibri" w:hAnsi="Calibri"/>
          <w:i/>
          <w:color w:val="525866"/>
          <w:sz w:val="22"/>
        </w:rPr>
        <w:t>Reporting period covered: Q2 2026 (current quarter). Forward commentary on Q3 2026 and beyond.</w:t>
      </w:r>
    </w:p>
    <w:tbl>
      <w:tblPr>
        <w:tblStyle w:val="TableGrid"/>
        <w:tblW w:type="auto" w:w="0"/>
        <w:tblLook w:firstColumn="1" w:firstRow="1" w:lastColumn="0" w:lastRow="0" w:noHBand="0" w:noVBand="1" w:val="04A0"/>
      </w:tblPr>
      <w:tblGrid>
        <w:gridCol w:w="2880"/>
        <w:gridCol w:w="2880"/>
        <w:gridCol w:w="2880"/>
      </w:tblGrid>
      <w:tr>
        <w:tc>
          <w:tcPr>
            <w:tcW w:type="dxa" w:w="2880"/>
            <w:shd w:val="clear" w:color="auto" w:fill="3B4259"/>
          </w:tcPr>
          <w:p>
            <w:r>
              <w:rPr>
                <w:rFonts w:ascii="Calibri" w:hAnsi="Calibri"/>
                <w:b/>
                <w:color w:val="FFFFFF"/>
                <w:sz w:val="22"/>
              </w:rPr>
              <w:t>Theme</w:t>
            </w:r>
          </w:p>
        </w:tc>
        <w:tc>
          <w:tcPr>
            <w:tcW w:type="dxa" w:w="2880"/>
            <w:shd w:val="clear" w:color="auto" w:fill="3B4259"/>
          </w:tcPr>
          <w:p>
            <w:r>
              <w:rPr>
                <w:rFonts w:ascii="Calibri" w:hAnsi="Calibri"/>
                <w:b/>
                <w:color w:val="FFFFFF"/>
                <w:sz w:val="22"/>
              </w:rPr>
              <w:t>STLD Commentary (Forward-Looking)</w:t>
            </w:r>
          </w:p>
        </w:tc>
        <w:tc>
          <w:tcPr>
            <w:tcW w:type="dxa" w:w="2880"/>
            <w:shd w:val="clear" w:color="auto" w:fill="3B4259"/>
          </w:tcPr>
          <w:p>
            <w:r>
              <w:rPr>
                <w:rFonts w:ascii="Calibri" w:hAnsi="Calibri"/>
                <w:b/>
                <w:color w:val="FFFFFF"/>
                <w:sz w:val="22"/>
              </w:rPr>
              <w:t>NUE Read-Through</w:t>
            </w:r>
          </w:p>
        </w:tc>
      </w:tr>
      <w:tr>
        <w:tc>
          <w:tcPr>
            <w:tcW w:type="dxa" w:w="2880"/>
          </w:tcPr>
          <w:p>
            <w:r>
              <w:rPr>
                <w:rFonts w:ascii="Calibri" w:hAnsi="Calibri"/>
                <w:sz w:val="22"/>
              </w:rPr>
              <w:t>Steel Demand &amp; Volumes</w:t>
            </w:r>
          </w:p>
        </w:tc>
        <w:tc>
          <w:tcPr>
            <w:tcW w:type="dxa" w:w="2880"/>
          </w:tcPr>
          <w:p>
            <w:r>
              <w:rPr>
                <w:rFonts w:ascii="Calibri" w:hAnsi="Calibri"/>
                <w:sz w:val="22"/>
              </w:rPr>
              <w:t>Record quarterly steel shipments of 3.7M tons in Q2 2026; steel plants “all running with excellent backlogs right now”; flat rolled markets described as “strong” with “solid demand and lean inventory levels”; lead times “elevated”; customers “continue to express optimism.” Dodge Momentum Index up &gt;30% YoY, leading construction spending by 12–18 months.</w:t>
            </w:r>
          </w:p>
        </w:tc>
        <w:tc>
          <w:tcPr>
            <w:tcW w:type="dxa" w:w="2880"/>
          </w:tcPr>
          <w:p>
            <w:r>
              <w:rPr>
                <w:rFonts w:ascii="Calibri" w:hAnsi="Calibri"/>
                <w:b/>
                <w:color w:val="30A46C"/>
                <w:sz w:val="22"/>
              </w:rPr>
              <w:t>Strongly positive. NUE’s Q2 consensus of 5.53M steel mill tons (stable vs. Q1’s record 5.62M) looks achievable; elevated backlogs and lean inventories support pricing power.</w:t>
            </w:r>
          </w:p>
        </w:tc>
      </w:tr>
      <w:tr>
        <w:tc>
          <w:tcPr>
            <w:tcW w:type="dxa" w:w="2880"/>
          </w:tcPr>
          <w:p>
            <w:r>
              <w:rPr>
                <w:rFonts w:ascii="Calibri" w:hAnsi="Calibri"/>
                <w:sz w:val="22"/>
              </w:rPr>
              <w:t>Pricing &amp; Spreads</w:t>
            </w:r>
          </w:p>
        </w:tc>
        <w:tc>
          <w:tcPr>
            <w:tcW w:type="dxa" w:w="2880"/>
          </w:tcPr>
          <w:p>
            <w:r>
              <w:rPr>
                <w:rFonts w:ascii="Calibri" w:hAnsi="Calibri"/>
                <w:sz w:val="22"/>
              </w:rPr>
              <w:t>Avg. selling prices +$105/ton sequentially in Q2; value-added spreads to hot band improved $70/ton from Q4 2025 lows; “more recent flat rolled steel price increases and further improved value added product spreads will positively impact Q3 results”; long product demand and pricing “especially strong, continuing an upward trend.”</w:t>
            </w:r>
          </w:p>
        </w:tc>
        <w:tc>
          <w:tcPr>
            <w:tcW w:type="dxa" w:w="2880"/>
          </w:tcPr>
          <w:p>
            <w:r>
              <w:rPr>
                <w:rFonts w:ascii="Calibri" w:hAnsi="Calibri"/>
                <w:b/>
                <w:color w:val="30A46C"/>
                <w:sz w:val="22"/>
              </w:rPr>
              <w:t>Strongly positive. NUE’s Q2 ASP consensus of $1,142/ton (+$68/ton vs. Q1) is validated by STLD’s +$105/ton move; lagging price contracts mean further ASP tailwind into Q3.</w:t>
            </w:r>
          </w:p>
        </w:tc>
      </w:tr>
      <w:tr>
        <w:tc>
          <w:tcPr>
            <w:tcW w:type="dxa" w:w="2880"/>
          </w:tcPr>
          <w:p>
            <w:r>
              <w:rPr>
                <w:rFonts w:ascii="Calibri" w:hAnsi="Calibri"/>
                <w:sz w:val="22"/>
              </w:rPr>
              <w:t>Fabrication / Steel Products</w:t>
            </w:r>
          </w:p>
        </w:tc>
        <w:tc>
          <w:tcPr>
            <w:tcW w:type="dxa" w:w="2880"/>
          </w:tcPr>
          <w:p>
            <w:r>
              <w:rPr>
                <w:rFonts w:ascii="Calibri" w:hAnsi="Calibri"/>
                <w:sz w:val="22"/>
              </w:rPr>
              <w:t>Steel joists &amp; deck order backlog 45% higher YoY (volume-specific, not pricing); contractor project backlogs at “over nine months in May, near highest level in several years”; fabrication volume “expected to be really strong for the second half of this year and into next year.”</w:t>
            </w:r>
          </w:p>
        </w:tc>
        <w:tc>
          <w:tcPr>
            <w:tcW w:type="dxa" w:w="2880"/>
          </w:tcPr>
          <w:p>
            <w:r>
              <w:rPr>
                <w:rFonts w:ascii="Calibri" w:hAnsi="Calibri"/>
                <w:b/>
                <w:color w:val="30A46C"/>
                <w:sz w:val="22"/>
              </w:rPr>
              <w:t>Positive. NUE’s steel products segment (joist, deck, rebar fabrication) should see similar backlog strength; consensus of 1.228M tons for Q2 steel products shipments looks conservative.</w:t>
            </w:r>
          </w:p>
        </w:tc>
      </w:tr>
      <w:tr>
        <w:tc>
          <w:tcPr>
            <w:tcW w:type="dxa" w:w="2880"/>
          </w:tcPr>
          <w:p>
            <w:r>
              <w:rPr>
                <w:rFonts w:ascii="Calibri" w:hAnsi="Calibri"/>
                <w:sz w:val="22"/>
              </w:rPr>
              <w:t>Imports / Trade Policy</w:t>
            </w:r>
          </w:p>
        </w:tc>
        <w:tc>
          <w:tcPr>
            <w:tcW w:type="dxa" w:w="2880"/>
          </w:tcPr>
          <w:p>
            <w:r>
              <w:rPr>
                <w:rFonts w:ascii="Calibri" w:hAnsi="Calibri"/>
                <w:sz w:val="22"/>
              </w:rPr>
              <w:t>50% Section 232 tariff “fully supporting the industry long term”; new Section 301 investigations targeting forced-labor steel exporters; USMCA review engagement to protect melted-and-poured provisions; “short-term disruption” from Asian imports “hopefully abated in Q3/Q4.”</w:t>
            </w:r>
          </w:p>
        </w:tc>
        <w:tc>
          <w:tcPr>
            <w:tcW w:type="dxa" w:w="2880"/>
          </w:tcPr>
          <w:p>
            <w:r>
              <w:rPr>
                <w:rFonts w:ascii="Calibri" w:hAnsi="Calibri"/>
                <w:b/>
                <w:color w:val="30A46C"/>
                <w:sz w:val="22"/>
              </w:rPr>
              <w:t>Positive near-term; watch USMCA. Trade policy backdrop remains supportive; Asian import disruption is a shared risk but expected to be temporary.</w:t>
            </w:r>
          </w:p>
        </w:tc>
      </w:tr>
      <w:tr>
        <w:tc>
          <w:tcPr>
            <w:tcW w:type="dxa" w:w="2880"/>
          </w:tcPr>
          <w:p>
            <w:r>
              <w:rPr>
                <w:rFonts w:ascii="Calibri" w:hAnsi="Calibri"/>
                <w:sz w:val="22"/>
              </w:rPr>
              <w:t>Scrap / Input Costs</w:t>
            </w:r>
          </w:p>
        </w:tc>
        <w:tc>
          <w:tcPr>
            <w:tcW w:type="dxa" w:w="2880"/>
          </w:tcPr>
          <w:p>
            <w:r>
              <w:rPr>
                <w:rFonts w:ascii="Calibri" w:hAnsi="Calibri"/>
                <w:sz w:val="22"/>
              </w:rPr>
              <w:t>Scrap pricing expected to “stay relatively steady” and “go sideways” in coming months; no significant impacts on other cost streams.</w:t>
            </w:r>
          </w:p>
        </w:tc>
        <w:tc>
          <w:tcPr>
            <w:tcW w:type="dxa" w:w="2880"/>
          </w:tcPr>
          <w:p>
            <w:r>
              <w:rPr>
                <w:rFonts w:ascii="Calibri" w:hAnsi="Calibri"/>
                <w:b/>
                <w:color w:val="30A46C"/>
                <w:sz w:val="22"/>
              </w:rPr>
              <w:t>Positive. Stable scrap costs + rising ASPs = expanding metal margins for NUE’s EAF-based steel mills.</w:t>
            </w:r>
          </w:p>
        </w:tc>
      </w:tr>
    </w:tbl>
    <w:p>
      <w:pPr>
        <w:pStyle w:val="Heading3"/>
      </w:pPr>
      <w:r>
        <w:rPr>
          <w:rFonts w:ascii="Calibri" w:hAnsi="Calibri"/>
          <w:b/>
          <w:color w:val="3B4259"/>
          <w:sz w:val="24"/>
        </w:rPr>
        <w:t>7.2 Cleveland-Cliffs (CLF) — Q2 2026 Earnings Call (July 23, 2026)</w:t>
      </w:r>
    </w:p>
    <w:p>
      <w:r>
        <w:rPr>
          <w:rFonts w:ascii="Calibri" w:hAnsi="Calibri"/>
          <w:i/>
          <w:color w:val="525866"/>
          <w:sz w:val="22"/>
        </w:rPr>
        <w:t>Reporting period covered: Q2 2026 (current quarter). Forward commentary on Q3 2026, Q4 2026, and 2027.</w:t>
      </w:r>
    </w:p>
    <w:tbl>
      <w:tblPr>
        <w:tblStyle w:val="TableGrid"/>
        <w:tblW w:type="auto" w:w="0"/>
        <w:tblLook w:firstColumn="1" w:firstRow="1" w:lastColumn="0" w:lastRow="0" w:noHBand="0" w:noVBand="1" w:val="04A0"/>
      </w:tblPr>
      <w:tblGrid>
        <w:gridCol w:w="2880"/>
        <w:gridCol w:w="2880"/>
        <w:gridCol w:w="2880"/>
      </w:tblGrid>
      <w:tr>
        <w:tc>
          <w:tcPr>
            <w:tcW w:type="dxa" w:w="2880"/>
            <w:shd w:val="clear" w:color="auto" w:fill="3B4259"/>
          </w:tcPr>
          <w:p>
            <w:r>
              <w:rPr>
                <w:rFonts w:ascii="Calibri" w:hAnsi="Calibri"/>
                <w:b/>
                <w:color w:val="FFFFFF"/>
                <w:sz w:val="22"/>
              </w:rPr>
              <w:t>Theme</w:t>
            </w:r>
          </w:p>
        </w:tc>
        <w:tc>
          <w:tcPr>
            <w:tcW w:type="dxa" w:w="2880"/>
            <w:shd w:val="clear" w:color="auto" w:fill="3B4259"/>
          </w:tcPr>
          <w:p>
            <w:r>
              <w:rPr>
                <w:rFonts w:ascii="Calibri" w:hAnsi="Calibri"/>
                <w:b/>
                <w:color w:val="FFFFFF"/>
                <w:sz w:val="22"/>
              </w:rPr>
              <w:t>CLF Commentary (Forward-Looking)</w:t>
            </w:r>
          </w:p>
        </w:tc>
        <w:tc>
          <w:tcPr>
            <w:tcW w:type="dxa" w:w="2880"/>
            <w:shd w:val="clear" w:color="auto" w:fill="3B4259"/>
          </w:tcPr>
          <w:p>
            <w:r>
              <w:rPr>
                <w:rFonts w:ascii="Calibri" w:hAnsi="Calibri"/>
                <w:b/>
                <w:color w:val="FFFFFF"/>
                <w:sz w:val="22"/>
              </w:rPr>
              <w:t>NUE Read-Through</w:t>
            </w:r>
          </w:p>
        </w:tc>
      </w:tr>
      <w:tr>
        <w:tc>
          <w:tcPr>
            <w:tcW w:type="dxa" w:w="2880"/>
          </w:tcPr>
          <w:p>
            <w:r>
              <w:rPr>
                <w:rFonts w:ascii="Calibri" w:hAnsi="Calibri"/>
                <w:sz w:val="22"/>
              </w:rPr>
              <w:t>Demand &amp; Volumes</w:t>
            </w:r>
          </w:p>
        </w:tc>
        <w:tc>
          <w:tcPr>
            <w:tcW w:type="dxa" w:w="2880"/>
          </w:tcPr>
          <w:p>
            <w:r>
              <w:rPr>
                <w:rFonts w:ascii="Calibri" w:hAnsi="Calibri"/>
                <w:sz w:val="22"/>
              </w:rPr>
              <w:t>Q3 2026 steel shipment volumes expected “above 4.3M tons” (vs. Q2’s ~4.0M tons); “order book remains strong and backlogs are extended”; “finishing lines are full and pricing remains strong.” Automotive shipments in Q2 were “highest in the last two years”; manufacturing investment “accelerating” and domestic steel utilization “improving.”</w:t>
            </w:r>
          </w:p>
        </w:tc>
        <w:tc>
          <w:tcPr>
            <w:tcW w:type="dxa" w:w="2880"/>
          </w:tcPr>
          <w:p>
            <w:r>
              <w:rPr>
                <w:rFonts w:ascii="Calibri" w:hAnsi="Calibri"/>
                <w:b/>
                <w:color w:val="30A46C"/>
                <w:sz w:val="22"/>
              </w:rPr>
              <w:t>Positive. Extended backlogs and full finishing lines confirm tight supply/demand balance; NUE’s sheet and plate businesses should benefit from the same dynamics.</w:t>
            </w:r>
          </w:p>
        </w:tc>
      </w:tr>
      <w:tr>
        <w:tc>
          <w:tcPr>
            <w:tcW w:type="dxa" w:w="2880"/>
          </w:tcPr>
          <w:p>
            <w:r>
              <w:rPr>
                <w:rFonts w:ascii="Calibri" w:hAnsi="Calibri"/>
                <w:sz w:val="22"/>
              </w:rPr>
              <w:t>Pricing &amp; Spreads</w:t>
            </w:r>
          </w:p>
        </w:tc>
        <w:tc>
          <w:tcPr>
            <w:tcW w:type="dxa" w:w="2880"/>
          </w:tcPr>
          <w:p>
            <w:r>
              <w:rPr>
                <w:rFonts w:ascii="Calibri" w:hAnsi="Calibri"/>
                <w:sz w:val="22"/>
              </w:rPr>
              <w:t>Avg. selling price +$76/ton in Q2; expects “another $55/ton increase in Q3”; cold rolled coil prices “have even further outpaced hot rolled coil prices”; non-automotive fixed price contracts to reset “for much higher prices” in H2 2026 (from ~$800/ton to ~$1,150/ton); automotive contracts also resetting higher.</w:t>
            </w:r>
          </w:p>
        </w:tc>
        <w:tc>
          <w:tcPr>
            <w:tcW w:type="dxa" w:w="2880"/>
          </w:tcPr>
          <w:p>
            <w:r>
              <w:rPr>
                <w:rFonts w:ascii="Calibri" w:hAnsi="Calibri"/>
                <w:b/>
                <w:color w:val="30A46C"/>
                <w:sz w:val="22"/>
              </w:rPr>
              <w:t>Strongly positive. Confirms sustained ASP momentum into Q3; NUE’s sheet business (largest segment) benefits from the same HRC/CRC pricing trajectory. Contract resets are a multi-quarter tailwind.</w:t>
            </w:r>
          </w:p>
        </w:tc>
      </w:tr>
      <w:tr>
        <w:tc>
          <w:tcPr>
            <w:tcW w:type="dxa" w:w="2880"/>
          </w:tcPr>
          <w:p>
            <w:r>
              <w:rPr>
                <w:rFonts w:ascii="Calibri" w:hAnsi="Calibri"/>
                <w:sz w:val="22"/>
              </w:rPr>
              <w:t>Margin Outlook</w:t>
            </w:r>
          </w:p>
        </w:tc>
        <w:tc>
          <w:tcPr>
            <w:tcW w:type="dxa" w:w="2880"/>
          </w:tcPr>
          <w:p>
            <w:r>
              <w:rPr>
                <w:rFonts w:ascii="Calibri" w:hAnsi="Calibri"/>
                <w:sz w:val="22"/>
              </w:rPr>
              <w:t>Q3 2026 adj. EBITDA guided to ~$575M (“more than double Q2”); Q4 2026 expected to “further outperform Q3”; unit costs to see “$10/ton reduction into Q3” with further improvements in Q4; fixed price contract resets in 2027 estimated at “$500M EBITDA improvement YoY.” Free cash flow returned to positive in Q2 and expected to continue.</w:t>
            </w:r>
          </w:p>
        </w:tc>
        <w:tc>
          <w:tcPr>
            <w:tcW w:type="dxa" w:w="2880"/>
          </w:tcPr>
          <w:p>
            <w:r>
              <w:rPr>
                <w:rFonts w:ascii="Calibri" w:hAnsi="Calibri"/>
                <w:b/>
                <w:color w:val="30A46C"/>
                <w:sz w:val="22"/>
              </w:rPr>
              <w:t>Positive. Margin expansion trajectory at CLF mirrors NUE’s own guidance for higher earnings across all segments; FCF inflection is consistent with NUE’s own FCF recovery narrative.</w:t>
            </w:r>
          </w:p>
        </w:tc>
      </w:tr>
      <w:tr>
        <w:tc>
          <w:tcPr>
            <w:tcW w:type="dxa" w:w="2880"/>
          </w:tcPr>
          <w:p>
            <w:r>
              <w:rPr>
                <w:rFonts w:ascii="Calibri" w:hAnsi="Calibri"/>
                <w:sz w:val="22"/>
              </w:rPr>
              <w:t>Trade Policy / Imports</w:t>
            </w:r>
          </w:p>
        </w:tc>
        <w:tc>
          <w:tcPr>
            <w:tcW w:type="dxa" w:w="2880"/>
          </w:tcPr>
          <w:p>
            <w:r>
              <w:rPr>
                <w:rFonts w:ascii="Calibri" w:hAnsi="Calibri"/>
                <w:sz w:val="22"/>
              </w:rPr>
              <w:t>Section 232 described as “the single most effective industrial policy in a generation”; USMCA discussions expected to yield “a positive outcome for domestic steel producers”; Canadian Tariff Rate Quota extended through June 2027; “no more escape valves in Mexico for transshipped steel.”</w:t>
            </w:r>
          </w:p>
        </w:tc>
        <w:tc>
          <w:tcPr>
            <w:tcW w:type="dxa" w:w="2880"/>
          </w:tcPr>
          <w:p>
            <w:r>
              <w:rPr>
                <w:rFonts w:ascii="Calibri" w:hAnsi="Calibri"/>
                <w:b/>
                <w:color w:val="30A46C"/>
                <w:sz w:val="22"/>
              </w:rPr>
              <w:t>Positive. Trade policy backdrop remains firmly supportive; USMCA outcome expected to be constructive for domestic producers including NUE.</w:t>
            </w:r>
          </w:p>
        </w:tc>
      </w:tr>
    </w:tbl>
    <w:p>
      <w:pPr>
        <w:pStyle w:val="Heading3"/>
      </w:pPr>
      <w:r>
        <w:rPr>
          <w:rFonts w:ascii="Calibri" w:hAnsi="Calibri"/>
          <w:b/>
          <w:color w:val="3B4259"/>
          <w:sz w:val="24"/>
        </w:rPr>
        <w:t>7.3 Commercial Metals Company (CMC) — Fiscal Q3 2026 Earnings Call (June 25, 2026)</w:t>
      </w:r>
    </w:p>
    <w:p>
      <w:r>
        <w:rPr>
          <w:rFonts w:ascii="Calibri" w:hAnsi="Calibri"/>
          <w:i/>
          <w:color w:val="525866"/>
          <w:sz w:val="22"/>
        </w:rPr>
        <w:t>Reporting period covered: CMC fiscal Q3 2026 (March–May 2026). Forward commentary on CMC fiscal Q4 2026 (June–August 2026), which overlaps with NUE’s Q2 2026 (ending July 4, 2026).</w:t>
      </w:r>
    </w:p>
    <w:tbl>
      <w:tblPr>
        <w:tblStyle w:val="TableGrid"/>
        <w:tblW w:type="auto" w:w="0"/>
        <w:tblLook w:firstColumn="1" w:firstRow="1" w:lastColumn="0" w:lastRow="0" w:noHBand="0" w:noVBand="1" w:val="04A0"/>
      </w:tblPr>
      <w:tblGrid>
        <w:gridCol w:w="2880"/>
        <w:gridCol w:w="2880"/>
        <w:gridCol w:w="2880"/>
      </w:tblGrid>
      <w:tr>
        <w:tc>
          <w:tcPr>
            <w:tcW w:type="dxa" w:w="2880"/>
            <w:shd w:val="clear" w:color="auto" w:fill="3B4259"/>
          </w:tcPr>
          <w:p>
            <w:r>
              <w:rPr>
                <w:rFonts w:ascii="Calibri" w:hAnsi="Calibri"/>
                <w:b/>
                <w:color w:val="FFFFFF"/>
                <w:sz w:val="22"/>
              </w:rPr>
              <w:t>Theme</w:t>
            </w:r>
          </w:p>
        </w:tc>
        <w:tc>
          <w:tcPr>
            <w:tcW w:type="dxa" w:w="2880"/>
            <w:shd w:val="clear" w:color="auto" w:fill="3B4259"/>
          </w:tcPr>
          <w:p>
            <w:r>
              <w:rPr>
                <w:rFonts w:ascii="Calibri" w:hAnsi="Calibri"/>
                <w:b/>
                <w:color w:val="FFFFFF"/>
                <w:sz w:val="22"/>
              </w:rPr>
              <w:t>CMC Commentary (Forward-Looking: Fiscal Q4 2026)</w:t>
            </w:r>
          </w:p>
        </w:tc>
        <w:tc>
          <w:tcPr>
            <w:tcW w:type="dxa" w:w="2880"/>
            <w:shd w:val="clear" w:color="auto" w:fill="3B4259"/>
          </w:tcPr>
          <w:p>
            <w:r>
              <w:rPr>
                <w:rFonts w:ascii="Calibri" w:hAnsi="Calibri"/>
                <w:b/>
                <w:color w:val="FFFFFF"/>
                <w:sz w:val="22"/>
              </w:rPr>
              <w:t>NUE Read-Through</w:t>
            </w:r>
          </w:p>
        </w:tc>
      </w:tr>
      <w:tr>
        <w:tc>
          <w:tcPr>
            <w:tcW w:type="dxa" w:w="2880"/>
          </w:tcPr>
          <w:p>
            <w:r>
              <w:rPr>
                <w:rFonts w:ascii="Calibri" w:hAnsi="Calibri"/>
                <w:sz w:val="22"/>
              </w:rPr>
              <w:t>Demand &amp; Volumes</w:t>
            </w:r>
          </w:p>
        </w:tc>
        <w:tc>
          <w:tcPr>
            <w:tcW w:type="dxa" w:w="2880"/>
          </w:tcPr>
          <w:p>
            <w:r>
              <w:rPr>
                <w:rFonts w:ascii="Calibri" w:hAnsi="Calibri"/>
                <w:sz w:val="22"/>
              </w:rPr>
              <w:t>Expects “meaningful sequential increase in core EBITDA” in fiscal Q4 ($40–50M improvement); weather conditions “normalized” and “steel and precast shipments are seeing strength”; “underlying business fundamentals remain firmly intact and in many cases are improving”; apparent US steel consumption up 3.2% YTD.</w:t>
            </w:r>
          </w:p>
        </w:tc>
        <w:tc>
          <w:tcPr>
            <w:tcW w:type="dxa" w:w="2880"/>
          </w:tcPr>
          <w:p>
            <w:r>
              <w:rPr>
                <w:rFonts w:ascii="Calibri" w:hAnsi="Calibri"/>
                <w:b/>
                <w:color w:val="30A46C"/>
                <w:sz w:val="22"/>
              </w:rPr>
              <w:t>Positive. Normalizing weather and improving fundamentals in the June quarter directly overlap with NUE’s Q2 2026 period; supports NUE’s “stable volumes” guidance for steel mills.</w:t>
            </w:r>
          </w:p>
        </w:tc>
      </w:tr>
      <w:tr>
        <w:tc>
          <w:tcPr>
            <w:tcW w:type="dxa" w:w="2880"/>
          </w:tcPr>
          <w:p>
            <w:r>
              <w:rPr>
                <w:rFonts w:ascii="Calibri" w:hAnsi="Calibri"/>
                <w:sz w:val="22"/>
              </w:rPr>
              <w:t>Pricing &amp; Metal Margins</w:t>
            </w:r>
          </w:p>
        </w:tc>
        <w:tc>
          <w:tcPr>
            <w:tcW w:type="dxa" w:w="2880"/>
          </w:tcPr>
          <w:p>
            <w:r>
              <w:rPr>
                <w:rFonts w:ascii="Calibri" w:hAnsi="Calibri"/>
                <w:sz w:val="22"/>
              </w:rPr>
              <w:t>“Previously announced steel price increases are in the market, taking hold and yielding higher metal margins”; “improving pricing conditions with scrap costs remaining relatively stable”; expects to “reestablish metal margins consistent with where they were prior to this past quarter.”</w:t>
            </w:r>
          </w:p>
        </w:tc>
        <w:tc>
          <w:tcPr>
            <w:tcW w:type="dxa" w:w="2880"/>
          </w:tcPr>
          <w:p>
            <w:r>
              <w:rPr>
                <w:rFonts w:ascii="Calibri" w:hAnsi="Calibri"/>
                <w:b/>
                <w:color w:val="30A46C"/>
                <w:sz w:val="22"/>
              </w:rPr>
              <w:t>Positive. Confirms the pricing recovery narrative; stable scrap + higher realized prices = margin expansion, consistent with NUE’s Q2 guidance for higher steel mill earnings.</w:t>
            </w:r>
          </w:p>
        </w:tc>
      </w:tr>
      <w:tr>
        <w:tc>
          <w:tcPr>
            <w:tcW w:type="dxa" w:w="2880"/>
          </w:tcPr>
          <w:p>
            <w:r>
              <w:rPr>
                <w:rFonts w:ascii="Calibri" w:hAnsi="Calibri"/>
                <w:sz w:val="22"/>
              </w:rPr>
              <w:t>Construction End Markets</w:t>
            </w:r>
          </w:p>
        </w:tc>
        <w:tc>
          <w:tcPr>
            <w:tcW w:type="dxa" w:w="2880"/>
          </w:tcPr>
          <w:p>
            <w:r>
              <w:rPr>
                <w:rFonts w:ascii="Calibri" w:hAnsi="Calibri"/>
                <w:sz w:val="22"/>
              </w:rPr>
              <w:t>Infrastructure demand “very robust”; &gt;50% of IIJA funding yet to be spent; mega projects (data centers, semiconductor, energy networks) driving “multiyear pipeline of construction activity”; precast backlog at “record level.”</w:t>
            </w:r>
          </w:p>
        </w:tc>
        <w:tc>
          <w:tcPr>
            <w:tcW w:type="dxa" w:w="2880"/>
          </w:tcPr>
          <w:p>
            <w:r>
              <w:rPr>
                <w:rFonts w:ascii="Calibri" w:hAnsi="Calibri"/>
                <w:b/>
                <w:color w:val="30A46C"/>
                <w:sz w:val="22"/>
              </w:rPr>
              <w:t>Positive. NUE’s steel products segment (joist, deck, rebar fabrication) is directly exposed to these same construction end markets; record backlogs at CMC validate NUE’s own backlog commentary.</w:t>
            </w:r>
          </w:p>
        </w:tc>
      </w:tr>
      <w:tr>
        <w:tc>
          <w:tcPr>
            <w:tcW w:type="dxa" w:w="2880"/>
          </w:tcPr>
          <w:p>
            <w:r>
              <w:rPr>
                <w:rFonts w:ascii="Calibri" w:hAnsi="Calibri"/>
                <w:sz w:val="22"/>
              </w:rPr>
              <w:t>Imports / Trade</w:t>
            </w:r>
          </w:p>
        </w:tc>
        <w:tc>
          <w:tcPr>
            <w:tcW w:type="dxa" w:w="2880"/>
          </w:tcPr>
          <w:p>
            <w:r>
              <w:rPr>
                <w:rFonts w:ascii="Calibri" w:hAnsi="Calibri"/>
                <w:sz w:val="22"/>
              </w:rPr>
              <w:t>Expects imports to “go down in the second half” and “remain at manageable levels”; South Korean imports “not competitive at current prices”; trade remedies (200% duties on Algeria, preliminary duties on others) “effectively knocked ~500K tons out of the market for ~5 years”; elevated ocean freight costs provide “additional buffer for domestic producers.”</w:t>
            </w:r>
          </w:p>
        </w:tc>
        <w:tc>
          <w:tcPr>
            <w:tcW w:type="dxa" w:w="2880"/>
          </w:tcPr>
          <w:p>
            <w:r>
              <w:rPr>
                <w:rFonts w:ascii="Calibri" w:hAnsi="Calibri"/>
                <w:b/>
                <w:color w:val="30A46C"/>
                <w:sz w:val="22"/>
              </w:rPr>
              <w:t>Positive. Import pressure expected to ease further in H2 2026; NUE’s import market share decline (22% → 15%) should continue, supporting domestic pricing power.</w:t>
            </w:r>
          </w:p>
        </w:tc>
      </w:tr>
      <w:tr>
        <w:tc>
          <w:tcPr>
            <w:tcW w:type="dxa" w:w="2880"/>
          </w:tcPr>
          <w:p>
            <w:r>
              <w:rPr>
                <w:rFonts w:ascii="Calibri" w:hAnsi="Calibri"/>
                <w:sz w:val="22"/>
              </w:rPr>
              <w:t>Scrap Costs</w:t>
            </w:r>
          </w:p>
        </w:tc>
        <w:tc>
          <w:tcPr>
            <w:tcW w:type="dxa" w:w="2880"/>
          </w:tcPr>
          <w:p>
            <w:r>
              <w:rPr>
                <w:rFonts w:ascii="Calibri" w:hAnsi="Calibri"/>
                <w:sz w:val="22"/>
              </w:rPr>
              <w:t>“A lot of stability for the balance of our fiscal year”; scrap costs expected to remain “relatively stable” in fiscal Q4.</w:t>
            </w:r>
          </w:p>
        </w:tc>
        <w:tc>
          <w:tcPr>
            <w:tcW w:type="dxa" w:w="2880"/>
          </w:tcPr>
          <w:p>
            <w:r>
              <w:rPr>
                <w:rFonts w:ascii="Calibri" w:hAnsi="Calibri"/>
                <w:b/>
                <w:color w:val="30A46C"/>
                <w:sz w:val="22"/>
              </w:rPr>
              <w:t>Positive. Stable scrap is a direct input cost benefit for NUE’s EAF-based steel mills; consistent with STLD’s “go sideways” scrap commentary.</w:t>
            </w:r>
          </w:p>
        </w:tc>
      </w:tr>
    </w:tbl>
    <w:p>
      <w:pPr>
        <w:pStyle w:val="Heading3"/>
      </w:pPr>
      <w:r>
        <w:rPr>
          <w:rFonts w:ascii="Calibri" w:hAnsi="Calibri"/>
          <w:b/>
          <w:color w:val="3B4259"/>
          <w:sz w:val="24"/>
        </w:rPr>
        <w:t>7.4 Reliance Steel &amp; Aluminum (RS) — Q2 2026 Earnings Call (July 23, 2026)</w:t>
      </w:r>
    </w:p>
    <w:p>
      <w:r>
        <w:rPr>
          <w:rFonts w:ascii="Calibri" w:hAnsi="Calibri"/>
          <w:i/>
          <w:color w:val="525866"/>
          <w:sz w:val="22"/>
        </w:rPr>
        <w:t>Reporting period covered: RS Q2 2026 (current quarter). Forward commentary on Q3 2026.</w:t>
      </w:r>
    </w:p>
    <w:tbl>
      <w:tblPr>
        <w:tblStyle w:val="TableGrid"/>
        <w:tblW w:type="auto" w:w="0"/>
        <w:tblLook w:firstColumn="1" w:firstRow="1" w:lastColumn="0" w:lastRow="0" w:noHBand="0" w:noVBand="1" w:val="04A0"/>
      </w:tblPr>
      <w:tblGrid>
        <w:gridCol w:w="2880"/>
        <w:gridCol w:w="2880"/>
        <w:gridCol w:w="2880"/>
      </w:tblGrid>
      <w:tr>
        <w:tc>
          <w:tcPr>
            <w:tcW w:type="dxa" w:w="2880"/>
            <w:shd w:val="clear" w:color="auto" w:fill="3B4259"/>
          </w:tcPr>
          <w:p>
            <w:r>
              <w:rPr>
                <w:rFonts w:ascii="Calibri" w:hAnsi="Calibri"/>
                <w:b/>
                <w:color w:val="FFFFFF"/>
                <w:sz w:val="22"/>
              </w:rPr>
              <w:t>Theme</w:t>
            </w:r>
          </w:p>
        </w:tc>
        <w:tc>
          <w:tcPr>
            <w:tcW w:type="dxa" w:w="2880"/>
            <w:shd w:val="clear" w:color="auto" w:fill="3B4259"/>
          </w:tcPr>
          <w:p>
            <w:r>
              <w:rPr>
                <w:rFonts w:ascii="Calibri" w:hAnsi="Calibri"/>
                <w:b/>
                <w:color w:val="FFFFFF"/>
                <w:sz w:val="22"/>
              </w:rPr>
              <w:t>RS Commentary (Forward-Looking: Q3 2026)</w:t>
            </w:r>
          </w:p>
        </w:tc>
        <w:tc>
          <w:tcPr>
            <w:tcW w:type="dxa" w:w="2880"/>
            <w:shd w:val="clear" w:color="auto" w:fill="3B4259"/>
          </w:tcPr>
          <w:p>
            <w:r>
              <w:rPr>
                <w:rFonts w:ascii="Calibri" w:hAnsi="Calibri"/>
                <w:b/>
                <w:color w:val="FFFFFF"/>
                <w:sz w:val="22"/>
              </w:rPr>
              <w:t>NUE Read-Through</w:t>
            </w:r>
          </w:p>
        </w:tc>
      </w:tr>
      <w:tr>
        <w:tc>
          <w:tcPr>
            <w:tcW w:type="dxa" w:w="2880"/>
          </w:tcPr>
          <w:p>
            <w:r>
              <w:rPr>
                <w:rFonts w:ascii="Calibri" w:hAnsi="Calibri"/>
                <w:sz w:val="22"/>
              </w:rPr>
              <w:t>Demand &amp; End Markets</w:t>
            </w:r>
          </w:p>
        </w:tc>
        <w:tc>
          <w:tcPr>
            <w:tcW w:type="dxa" w:w="2880"/>
          </w:tcPr>
          <w:p>
            <w:r>
              <w:rPr>
                <w:rFonts w:ascii="Calibri" w:hAnsi="Calibri"/>
                <w:sz w:val="22"/>
              </w:rPr>
              <w:t>Expects demand and pricing to “remain at healthy levels with continued improvement” in Q3; non-residential construction “remains strong” driven by data centers and energy infrastructure; general manufacturing showing “strong YoY growth”; semiconductor demand “showing clear improvement” with “momentum accelerating.” Customer optimism building across infrastructure, semiconductor, general manufacturing, and aerospace.</w:t>
            </w:r>
          </w:p>
        </w:tc>
        <w:tc>
          <w:tcPr>
            <w:tcW w:type="dxa" w:w="2880"/>
          </w:tcPr>
          <w:p>
            <w:r>
              <w:rPr>
                <w:rFonts w:ascii="Calibri" w:hAnsi="Calibri"/>
                <w:b/>
                <w:color w:val="30A46C"/>
                <w:sz w:val="22"/>
              </w:rPr>
              <w:t>Positive. Broad-based demand strength across NUE’s key end markets (non-res construction, data centers, manufacturing) is confirmed by the largest metals distributor in North America.</w:t>
            </w:r>
          </w:p>
        </w:tc>
      </w:tr>
      <w:tr>
        <w:tc>
          <w:tcPr>
            <w:tcW w:type="dxa" w:w="2880"/>
          </w:tcPr>
          <w:p>
            <w:r>
              <w:rPr>
                <w:rFonts w:ascii="Calibri" w:hAnsi="Calibri"/>
                <w:sz w:val="22"/>
              </w:rPr>
              <w:t>Pricing</w:t>
            </w:r>
          </w:p>
        </w:tc>
        <w:tc>
          <w:tcPr>
            <w:tcW w:type="dxa" w:w="2880"/>
          </w:tcPr>
          <w:p>
            <w:r>
              <w:rPr>
                <w:rFonts w:ascii="Calibri" w:hAnsi="Calibri"/>
                <w:sz w:val="22"/>
              </w:rPr>
              <w:t>“Pricing for carbon steel and aluminum products continued upward amid constrained supply, extended lead times, and strengthening demand”; “beam and plate prices have seen strong increases” in a “tight market” with “significant customer demand.” Mill lead times for flat rolled steel “4 to 8 weeks late.”</w:t>
            </w:r>
          </w:p>
        </w:tc>
        <w:tc>
          <w:tcPr>
            <w:tcW w:type="dxa" w:w="2880"/>
          </w:tcPr>
          <w:p>
            <w:r>
              <w:rPr>
                <w:rFonts w:ascii="Calibri" w:hAnsi="Calibri"/>
                <w:b/>
                <w:color w:val="30A46C"/>
                <w:sz w:val="22"/>
              </w:rPr>
              <w:t>Strongly positive. Extended lead times and tight supply directly validate NUE’s Q2 ASP guidance of $1,142/ton (+$68/ton vs. Q1); beam and plate strength is particularly relevant for NUE’s structural and plate segments.</w:t>
            </w:r>
          </w:p>
        </w:tc>
      </w:tr>
      <w:tr>
        <w:tc>
          <w:tcPr>
            <w:tcW w:type="dxa" w:w="2880"/>
          </w:tcPr>
          <w:p>
            <w:r>
              <w:rPr>
                <w:rFonts w:ascii="Calibri" w:hAnsi="Calibri"/>
                <w:sz w:val="22"/>
              </w:rPr>
              <w:t>Supply Constraints</w:t>
            </w:r>
          </w:p>
        </w:tc>
        <w:tc>
          <w:tcPr>
            <w:tcW w:type="dxa" w:w="2880"/>
          </w:tcPr>
          <w:p>
            <w:r>
              <w:rPr>
                <w:rFonts w:ascii="Calibri" w:hAnsi="Calibri"/>
                <w:sz w:val="22"/>
              </w:rPr>
              <w:t>Mill lead times for flat rolled steel “4 to 8 weeks late”; suppliers “not seen a whole lot of signs of catching up” despite trying; supply constraints also noted for beams, carbon plate, and heat-treated aluminum plate.</w:t>
            </w:r>
          </w:p>
        </w:tc>
        <w:tc>
          <w:tcPr>
            <w:tcW w:type="dxa" w:w="2880"/>
          </w:tcPr>
          <w:p>
            <w:r>
              <w:rPr>
                <w:rFonts w:ascii="Calibri" w:hAnsi="Calibri"/>
                <w:b/>
                <w:color w:val="30A46C"/>
                <w:sz w:val="22"/>
              </w:rPr>
              <w:t>Positive. Supply tightness at the mill level is a direct pricing power signal for NUE; inability of mills to catch up with demand supports elevated ASPs through at least Q3.</w:t>
            </w:r>
          </w:p>
        </w:tc>
      </w:tr>
      <w:tr>
        <w:tc>
          <w:tcPr>
            <w:tcW w:type="dxa" w:w="2880"/>
          </w:tcPr>
          <w:p>
            <w:r>
              <w:rPr>
                <w:rFonts w:ascii="Calibri" w:hAnsi="Calibri"/>
                <w:sz w:val="22"/>
              </w:rPr>
              <w:t>Trade Policy</w:t>
            </w:r>
          </w:p>
        </w:tc>
        <w:tc>
          <w:tcPr>
            <w:tcW w:type="dxa" w:w="2880"/>
          </w:tcPr>
          <w:p>
            <w:r>
              <w:rPr>
                <w:rFonts w:ascii="Calibri" w:hAnsi="Calibri"/>
                <w:sz w:val="22"/>
              </w:rPr>
              <w:t>“Trade policy continues to limit imports and support strong domestic pricing, further strengthened by extended lead times.” Outlook subject to “ongoing risks from domestic and international trade policy.”</w:t>
            </w:r>
          </w:p>
        </w:tc>
        <w:tc>
          <w:tcPr>
            <w:tcW w:type="dxa" w:w="2880"/>
          </w:tcPr>
          <w:p>
            <w:r>
              <w:rPr>
                <w:rFonts w:ascii="Calibri" w:hAnsi="Calibri"/>
                <w:b/>
                <w:color w:val="30A46C"/>
                <w:sz w:val="22"/>
              </w:rPr>
              <w:t>Positive with caveat. Trade policy is a net tailwind for NUE; the risk flag on trade policy uncertainty is consistent with the USMCA/Canada tariff wildcard.</w:t>
            </w:r>
          </w:p>
        </w:tc>
      </w:tr>
      <w:tr>
        <w:tc>
          <w:tcPr>
            <w:tcW w:type="dxa" w:w="2880"/>
          </w:tcPr>
          <w:p>
            <w:r>
              <w:rPr>
                <w:rFonts w:ascii="Calibri" w:hAnsi="Calibri"/>
                <w:sz w:val="22"/>
              </w:rPr>
              <w:t>Border Wall Contract (Carbon Steel Demand)</w:t>
            </w:r>
          </w:p>
        </w:tc>
        <w:tc>
          <w:tcPr>
            <w:tcW w:type="dxa" w:w="2880"/>
          </w:tcPr>
          <w:p>
            <w:r>
              <w:rPr>
                <w:rFonts w:ascii="Calibri" w:hAnsi="Calibri"/>
                <w:sz w:val="22"/>
              </w:rPr>
              <w:t>DHS border wall contract expected to be at “close to a full shipment run rate” in Q3 and sustained through mid-2027; Phase 1 represents ~$1.4B in sales; potential Phase 2 of ~$800–$900M. Carbon steel products (tubing, plate, structural) are the primary materials.</w:t>
            </w:r>
          </w:p>
        </w:tc>
        <w:tc>
          <w:tcPr>
            <w:tcW w:type="dxa" w:w="2880"/>
          </w:tcPr>
          <w:p>
            <w:r>
              <w:rPr>
                <w:rFonts w:ascii="Calibri" w:hAnsi="Calibri"/>
                <w:b/>
                <w:color w:val="30A46C"/>
                <w:sz w:val="22"/>
              </w:rPr>
              <w:t>Positive. Large, sustained government demand for carbon steel products (tubing, plate, structural) is incremental demand that benefits domestic producers including NUE.</w:t>
            </w:r>
          </w:p>
        </w:tc>
      </w:tr>
    </w:tbl>
    <w:p>
      <w:r>
        <w:rPr>
          <w:rFonts w:ascii="Calibri" w:hAnsi="Calibri"/>
          <w:b/>
          <w:color w:val="525866"/>
          <w:sz w:val="22"/>
        </w:rPr>
        <w:t xml:space="preserve">Overall Peer Read-Through Summary: </w:t>
      </w:r>
      <w:r>
        <w:rPr>
          <w:rFonts w:ascii="Calibri" w:hAnsi="Calibri"/>
          <w:color w:val="525866"/>
          <w:sz w:val="22"/>
        </w:rPr>
        <w:t>The peer commentary mosaic is unambiguously positive for NUE’s Q2 2026 print. STLD’s record shipments and +$105/ton ASP increase, CLF’s +$76/ton ASP and extended backlogs, CMC’s improving metal margins and stable scrap, and RS’s confirmation of tight supply and strong demand across all key end markets collectively validate every element of NUE’s Q2 guidance. The only shared risk flag is the pace of Asian import normalization and USMCA uncertainty, both of which are medium-term rather than Q2-specific concerns.</w:t>
      </w:r>
    </w:p>
    <w:p>
      <w:r>
        <w:rPr>
          <w:rFonts w:ascii="Calibri" w:hAnsi="Calibri"/>
          <w:i/>
          <w:color w:val="525866"/>
          <w:sz w:val="22"/>
        </w:rPr>
        <w:t>Sources: STLD Q2 2026 Earnings Call Transcript (July 21, 2026); CLF Q2 2026 Earnings Call Transcript (July 23, 2026); CMC Fiscal Q3 2026 Earnings Call Transcript (June 25, 2026); RS Q2 2026 Earnings Call Transcript (July 23, 2026).</w:t>
      </w:r>
    </w:p>
    <w:p>
      <w:r>
        <w:br w:type="page"/>
      </w:r>
    </w:p>
    <w:p>
      <w:pPr>
        <w:pStyle w:val="Heading2"/>
      </w:pPr>
      <w:r>
        <w:rPr>
          <w:rFonts w:ascii="Calibri" w:hAnsi="Calibri"/>
          <w:b/>
          <w:color w:val="3B4259"/>
          <w:sz w:val="28"/>
        </w:rPr>
        <w:t>8. Insider Transaction Activity</w:t>
      </w:r>
    </w:p>
    <w:p>
      <w:r>
        <w:rPr>
          <w:rFonts w:ascii="Calibri" w:hAnsi="Calibri"/>
          <w:b/>
          <w:color w:val="525866"/>
          <w:sz w:val="22"/>
        </w:rPr>
        <w:t xml:space="preserve">Key Takeaway: </w:t>
      </w:r>
      <w:r>
        <w:rPr>
          <w:rFonts w:ascii="Calibri" w:hAnsi="Calibri"/>
          <w:color w:val="525866"/>
          <w:sz w:val="22"/>
        </w:rPr>
        <w:t>Eight executives sold shares in the 60 days following Q1 earnings (April 30 – June 3, 2026), with aggregate sales of ~86,000 shares at prices ranging from ~$220 to ~$260 — a broad-based but not alarming pattern given the stock’s strong post-earnings rally; no open-market buys were recorded, and the largest single sale (Sumoski, 33,068 shares) was executed at the post-earnings high. A Form 144 (intended sale) was filed by departing EVP Needham on July 23, 2026.</w:t>
      </w:r>
    </w:p>
    <w:tbl>
      <w:tblPr>
        <w:tblStyle w:val="TableGrid"/>
        <w:tblW w:type="auto" w:w="0"/>
        <w:tblLook w:firstColumn="1" w:firstRow="1" w:lastColumn="0" w:lastRow="0" w:noHBand="0" w:noVBand="1" w:val="04A0"/>
      </w:tblPr>
      <w:tblGrid>
        <w:gridCol w:w="1234"/>
        <w:gridCol w:w="1234"/>
        <w:gridCol w:w="1234"/>
        <w:gridCol w:w="1234"/>
        <w:gridCol w:w="1234"/>
        <w:gridCol w:w="1234"/>
        <w:gridCol w:w="1234"/>
      </w:tblGrid>
      <w:tr>
        <w:tc>
          <w:tcPr>
            <w:tcW w:type="dxa" w:w="1234"/>
            <w:shd w:val="clear" w:color="auto" w:fill="3B4259"/>
          </w:tcPr>
          <w:p>
            <w:r>
              <w:rPr>
                <w:rFonts w:ascii="Calibri" w:hAnsi="Calibri"/>
                <w:b/>
                <w:color w:val="FFFFFF"/>
                <w:sz w:val="22"/>
              </w:rPr>
              <w:t>Name</w:t>
            </w:r>
          </w:p>
        </w:tc>
        <w:tc>
          <w:tcPr>
            <w:tcW w:type="dxa" w:w="1234"/>
            <w:shd w:val="clear" w:color="auto" w:fill="3B4259"/>
          </w:tcPr>
          <w:p>
            <w:r>
              <w:rPr>
                <w:rFonts w:ascii="Calibri" w:hAnsi="Calibri"/>
                <w:b/>
                <w:color w:val="FFFFFF"/>
                <w:sz w:val="22"/>
              </w:rPr>
              <w:t>Title</w:t>
            </w:r>
          </w:p>
        </w:tc>
        <w:tc>
          <w:tcPr>
            <w:tcW w:type="dxa" w:w="1234"/>
            <w:shd w:val="clear" w:color="auto" w:fill="3B4259"/>
          </w:tcPr>
          <w:p>
            <w:r>
              <w:rPr>
                <w:rFonts w:ascii="Calibri" w:hAnsi="Calibri"/>
                <w:b/>
                <w:color w:val="FFFFFF"/>
                <w:sz w:val="22"/>
              </w:rPr>
              <w:t>Transaction Type</w:t>
            </w:r>
          </w:p>
        </w:tc>
        <w:tc>
          <w:tcPr>
            <w:tcW w:type="dxa" w:w="1234"/>
            <w:shd w:val="clear" w:color="auto" w:fill="3B4259"/>
          </w:tcPr>
          <w:p>
            <w:r>
              <w:rPr>
                <w:rFonts w:ascii="Calibri" w:hAnsi="Calibri"/>
                <w:b/>
                <w:color w:val="FFFFFF"/>
                <w:sz w:val="22"/>
              </w:rPr>
              <w:t>Shares</w:t>
            </w:r>
          </w:p>
        </w:tc>
        <w:tc>
          <w:tcPr>
            <w:tcW w:type="dxa" w:w="1234"/>
            <w:shd w:val="clear" w:color="auto" w:fill="3B4259"/>
          </w:tcPr>
          <w:p>
            <w:r>
              <w:rPr>
                <w:rFonts w:ascii="Calibri" w:hAnsi="Calibri"/>
                <w:b/>
                <w:color w:val="FFFFFF"/>
                <w:sz w:val="22"/>
              </w:rPr>
              <w:t>Transaction Date</w:t>
            </w:r>
          </w:p>
        </w:tc>
        <w:tc>
          <w:tcPr>
            <w:tcW w:type="dxa" w:w="1234"/>
            <w:shd w:val="clear" w:color="auto" w:fill="3B4259"/>
          </w:tcPr>
          <w:p>
            <w:r>
              <w:rPr>
                <w:rFonts w:ascii="Calibri" w:hAnsi="Calibri"/>
                <w:b/>
                <w:color w:val="FFFFFF"/>
                <w:sz w:val="22"/>
              </w:rPr>
              <w:t>Filing Date</w:t>
            </w:r>
          </w:p>
        </w:tc>
        <w:tc>
          <w:tcPr>
            <w:tcW w:type="dxa" w:w="1234"/>
            <w:shd w:val="clear" w:color="auto" w:fill="3B4259"/>
          </w:tcPr>
          <w:p>
            <w:r>
              <w:rPr>
                <w:rFonts w:ascii="Calibri" w:hAnsi="Calibri"/>
                <w:b/>
                <w:color w:val="FFFFFF"/>
                <w:sz w:val="22"/>
              </w:rPr>
              <w:t>Note</w:t>
            </w:r>
          </w:p>
        </w:tc>
      </w:tr>
      <w:tr>
        <w:tc>
          <w:tcPr>
            <w:tcW w:type="dxa" w:w="1234"/>
          </w:tcPr>
          <w:p>
            <w:r>
              <w:rPr>
                <w:rFonts w:ascii="Calibri" w:hAnsi="Calibri"/>
                <w:sz w:val="22"/>
              </w:rPr>
              <w:t>Sumoski David A</w:t>
            </w:r>
          </w:p>
        </w:tc>
        <w:tc>
          <w:tcPr>
            <w:tcW w:type="dxa" w:w="1234"/>
          </w:tcPr>
          <w:p>
            <w:r>
              <w:rPr>
                <w:rFonts w:ascii="Calibri" w:hAnsi="Calibri"/>
                <w:sz w:val="22"/>
              </w:rPr>
              <w:t>Executive Vice President</w:t>
            </w:r>
          </w:p>
        </w:tc>
        <w:tc>
          <w:tcPr>
            <w:tcW w:type="dxa" w:w="1234"/>
          </w:tcPr>
          <w:p>
            <w:r>
              <w:rPr>
                <w:rFonts w:ascii="Calibri" w:hAnsi="Calibri"/>
                <w:sz w:val="22"/>
              </w:rPr>
              <w:t>Open Market Sale</w:t>
            </w:r>
          </w:p>
        </w:tc>
        <w:tc>
          <w:tcPr>
            <w:tcW w:type="dxa" w:w="1234"/>
          </w:tcPr>
          <w:p>
            <w:r>
              <w:rPr>
                <w:rFonts w:ascii="Calibri" w:hAnsi="Calibri"/>
                <w:sz w:val="22"/>
              </w:rPr>
              <w:t>33,068</w:t>
            </w:r>
          </w:p>
        </w:tc>
        <w:tc>
          <w:tcPr>
            <w:tcW w:type="dxa" w:w="1234"/>
          </w:tcPr>
          <w:p>
            <w:r>
              <w:rPr>
                <w:rFonts w:ascii="Calibri" w:hAnsi="Calibri"/>
                <w:sz w:val="22"/>
              </w:rPr>
              <w:t>Apr 30, 2026</w:t>
            </w:r>
          </w:p>
        </w:tc>
        <w:tc>
          <w:tcPr>
            <w:tcW w:type="dxa" w:w="1234"/>
          </w:tcPr>
          <w:p>
            <w:r>
              <w:rPr>
                <w:rFonts w:ascii="Calibri" w:hAnsi="Calibri"/>
                <w:sz w:val="22"/>
              </w:rPr>
              <w:t>May 4, 2026</w:t>
            </w:r>
          </w:p>
        </w:tc>
        <w:tc>
          <w:tcPr>
            <w:tcW w:type="dxa" w:w="1234"/>
          </w:tcPr>
          <w:p>
            <w:r>
              <w:rPr>
                <w:rFonts w:ascii="Calibri" w:hAnsi="Calibri"/>
                <w:sz w:val="22"/>
              </w:rPr>
              <w:t>Largest single sale; executed day after Q1 earnings beat; discretionary (no 10b5-1 plan indicated)</w:t>
            </w:r>
          </w:p>
        </w:tc>
      </w:tr>
      <w:tr>
        <w:tc>
          <w:tcPr>
            <w:tcW w:type="dxa" w:w="1234"/>
          </w:tcPr>
          <w:p>
            <w:r>
              <w:rPr>
                <w:rFonts w:ascii="Calibri" w:hAnsi="Calibri"/>
                <w:sz w:val="22"/>
              </w:rPr>
              <w:t>Needham Daniel R.</w:t>
            </w:r>
          </w:p>
        </w:tc>
        <w:tc>
          <w:tcPr>
            <w:tcW w:type="dxa" w:w="1234"/>
          </w:tcPr>
          <w:p>
            <w:r>
              <w:rPr>
                <w:rFonts w:ascii="Calibri" w:hAnsi="Calibri"/>
                <w:sz w:val="22"/>
              </w:rPr>
              <w:t>Executive Vice President (retiring)</w:t>
            </w:r>
          </w:p>
        </w:tc>
        <w:tc>
          <w:tcPr>
            <w:tcW w:type="dxa" w:w="1234"/>
          </w:tcPr>
          <w:p>
            <w:r>
              <w:rPr>
                <w:rFonts w:ascii="Calibri" w:hAnsi="Calibri"/>
                <w:sz w:val="22"/>
              </w:rPr>
              <w:t>Open Market Sale</w:t>
            </w:r>
          </w:p>
        </w:tc>
        <w:tc>
          <w:tcPr>
            <w:tcW w:type="dxa" w:w="1234"/>
          </w:tcPr>
          <w:p>
            <w:r>
              <w:rPr>
                <w:rFonts w:ascii="Calibri" w:hAnsi="Calibri"/>
                <w:sz w:val="22"/>
              </w:rPr>
              <w:t>12,888</w:t>
            </w:r>
          </w:p>
        </w:tc>
        <w:tc>
          <w:tcPr>
            <w:tcW w:type="dxa" w:w="1234"/>
          </w:tcPr>
          <w:p>
            <w:r>
              <w:rPr>
                <w:rFonts w:ascii="Calibri" w:hAnsi="Calibri"/>
                <w:sz w:val="22"/>
              </w:rPr>
              <w:t>May 1, 2026</w:t>
            </w:r>
          </w:p>
        </w:tc>
        <w:tc>
          <w:tcPr>
            <w:tcW w:type="dxa" w:w="1234"/>
          </w:tcPr>
          <w:p>
            <w:r>
              <w:rPr>
                <w:rFonts w:ascii="Calibri" w:hAnsi="Calibri"/>
                <w:sz w:val="22"/>
              </w:rPr>
              <w:t>May 5, 2026</w:t>
            </w:r>
          </w:p>
        </w:tc>
        <w:tc>
          <w:tcPr>
            <w:tcW w:type="dxa" w:w="1234"/>
          </w:tcPr>
          <w:p>
            <w:r>
              <w:rPr>
                <w:rFonts w:ascii="Calibri" w:hAnsi="Calibri"/>
                <w:sz w:val="22"/>
              </w:rPr>
              <w:t>Departing executive; also filed Form 144 (intended sale ~$4.2M) on July 23, 2026 ahead of retirement</w:t>
            </w:r>
          </w:p>
        </w:tc>
      </w:tr>
      <w:tr>
        <w:tc>
          <w:tcPr>
            <w:tcW w:type="dxa" w:w="1234"/>
          </w:tcPr>
          <w:p>
            <w:r>
              <w:rPr>
                <w:rFonts w:ascii="Calibri" w:hAnsi="Calibri"/>
                <w:sz w:val="22"/>
              </w:rPr>
              <w:t>Hanners Noah C</w:t>
            </w:r>
          </w:p>
        </w:tc>
        <w:tc>
          <w:tcPr>
            <w:tcW w:type="dxa" w:w="1234"/>
          </w:tcPr>
          <w:p>
            <w:r>
              <w:rPr>
                <w:rFonts w:ascii="Calibri" w:hAnsi="Calibri"/>
                <w:sz w:val="22"/>
              </w:rPr>
              <w:t>Executive Vice President</w:t>
            </w:r>
          </w:p>
        </w:tc>
        <w:tc>
          <w:tcPr>
            <w:tcW w:type="dxa" w:w="1234"/>
          </w:tcPr>
          <w:p>
            <w:r>
              <w:rPr>
                <w:rFonts w:ascii="Calibri" w:hAnsi="Calibri"/>
                <w:sz w:val="22"/>
              </w:rPr>
              <w:t>Open Market Sale</w:t>
            </w:r>
          </w:p>
        </w:tc>
        <w:tc>
          <w:tcPr>
            <w:tcW w:type="dxa" w:w="1234"/>
          </w:tcPr>
          <w:p>
            <w:r>
              <w:rPr>
                <w:rFonts w:ascii="Calibri" w:hAnsi="Calibri"/>
                <w:sz w:val="22"/>
              </w:rPr>
              <w:t>6,472</w:t>
            </w:r>
          </w:p>
        </w:tc>
        <w:tc>
          <w:tcPr>
            <w:tcW w:type="dxa" w:w="1234"/>
          </w:tcPr>
          <w:p>
            <w:r>
              <w:rPr>
                <w:rFonts w:ascii="Calibri" w:hAnsi="Calibri"/>
                <w:sz w:val="22"/>
              </w:rPr>
              <w:t>May 1, 2026</w:t>
            </w:r>
          </w:p>
        </w:tc>
        <w:tc>
          <w:tcPr>
            <w:tcW w:type="dxa" w:w="1234"/>
          </w:tcPr>
          <w:p>
            <w:r>
              <w:rPr>
                <w:rFonts w:ascii="Calibri" w:hAnsi="Calibri"/>
                <w:sz w:val="22"/>
              </w:rPr>
              <w:t>May 5, 2026</w:t>
            </w:r>
          </w:p>
        </w:tc>
        <w:tc>
          <w:tcPr>
            <w:tcW w:type="dxa" w:w="1234"/>
          </w:tcPr>
          <w:p>
            <w:r>
              <w:rPr>
                <w:rFonts w:ascii="Calibri" w:hAnsi="Calibri"/>
                <w:sz w:val="22"/>
              </w:rPr>
              <w:t>Discretionary; no 10b5-1 plan indicated</w:t>
            </w:r>
          </w:p>
        </w:tc>
      </w:tr>
      <w:tr>
        <w:tc>
          <w:tcPr>
            <w:tcW w:type="dxa" w:w="1234"/>
          </w:tcPr>
          <w:p>
            <w:r>
              <w:rPr>
                <w:rFonts w:ascii="Calibri" w:hAnsi="Calibri"/>
                <w:sz w:val="22"/>
              </w:rPr>
              <w:t>Behr Allen C</w:t>
            </w:r>
          </w:p>
        </w:tc>
        <w:tc>
          <w:tcPr>
            <w:tcW w:type="dxa" w:w="1234"/>
          </w:tcPr>
          <w:p>
            <w:r>
              <w:rPr>
                <w:rFonts w:ascii="Calibri" w:hAnsi="Calibri"/>
                <w:sz w:val="22"/>
              </w:rPr>
              <w:t>Executive Vice President</w:t>
            </w:r>
          </w:p>
        </w:tc>
        <w:tc>
          <w:tcPr>
            <w:tcW w:type="dxa" w:w="1234"/>
          </w:tcPr>
          <w:p>
            <w:r>
              <w:rPr>
                <w:rFonts w:ascii="Calibri" w:hAnsi="Calibri"/>
                <w:sz w:val="22"/>
              </w:rPr>
              <w:t>Open Market Sale</w:t>
            </w:r>
          </w:p>
        </w:tc>
        <w:tc>
          <w:tcPr>
            <w:tcW w:type="dxa" w:w="1234"/>
          </w:tcPr>
          <w:p>
            <w:r>
              <w:rPr>
                <w:rFonts w:ascii="Calibri" w:hAnsi="Calibri"/>
                <w:sz w:val="22"/>
              </w:rPr>
              <w:t>10,096</w:t>
            </w:r>
          </w:p>
        </w:tc>
        <w:tc>
          <w:tcPr>
            <w:tcW w:type="dxa" w:w="1234"/>
          </w:tcPr>
          <w:p>
            <w:r>
              <w:rPr>
                <w:rFonts w:ascii="Calibri" w:hAnsi="Calibri"/>
                <w:sz w:val="22"/>
              </w:rPr>
              <w:t>May 4, 2026</w:t>
            </w:r>
          </w:p>
        </w:tc>
        <w:tc>
          <w:tcPr>
            <w:tcW w:type="dxa" w:w="1234"/>
          </w:tcPr>
          <w:p>
            <w:r>
              <w:rPr>
                <w:rFonts w:ascii="Calibri" w:hAnsi="Calibri"/>
                <w:sz w:val="22"/>
              </w:rPr>
              <w:t>May 6, 2026</w:t>
            </w:r>
          </w:p>
        </w:tc>
        <w:tc>
          <w:tcPr>
            <w:tcW w:type="dxa" w:w="1234"/>
          </w:tcPr>
          <w:p>
            <w:r>
              <w:rPr>
                <w:rFonts w:ascii="Calibri" w:hAnsi="Calibri"/>
                <w:sz w:val="22"/>
              </w:rPr>
              <w:t>Discretionary; no 10b5-1 plan indicated</w:t>
            </w:r>
          </w:p>
        </w:tc>
      </w:tr>
      <w:tr>
        <w:tc>
          <w:tcPr>
            <w:tcW w:type="dxa" w:w="1234"/>
          </w:tcPr>
          <w:p>
            <w:r>
              <w:rPr>
                <w:rFonts w:ascii="Calibri" w:hAnsi="Calibri"/>
                <w:sz w:val="22"/>
              </w:rPr>
              <w:t>Keller Michael D</w:t>
            </w:r>
          </w:p>
        </w:tc>
        <w:tc>
          <w:tcPr>
            <w:tcW w:type="dxa" w:w="1234"/>
          </w:tcPr>
          <w:p>
            <w:r>
              <w:rPr>
                <w:rFonts w:ascii="Calibri" w:hAnsi="Calibri"/>
                <w:sz w:val="22"/>
              </w:rPr>
              <w:t>VP and Corporate Controller</w:t>
            </w:r>
          </w:p>
        </w:tc>
        <w:tc>
          <w:tcPr>
            <w:tcW w:type="dxa" w:w="1234"/>
          </w:tcPr>
          <w:p>
            <w:r>
              <w:rPr>
                <w:rFonts w:ascii="Calibri" w:hAnsi="Calibri"/>
                <w:sz w:val="22"/>
              </w:rPr>
              <w:t>Open Market Sale</w:t>
            </w:r>
          </w:p>
        </w:tc>
        <w:tc>
          <w:tcPr>
            <w:tcW w:type="dxa" w:w="1234"/>
          </w:tcPr>
          <w:p>
            <w:r>
              <w:rPr>
                <w:rFonts w:ascii="Calibri" w:hAnsi="Calibri"/>
                <w:sz w:val="22"/>
              </w:rPr>
              <w:t>4,554</w:t>
            </w:r>
          </w:p>
        </w:tc>
        <w:tc>
          <w:tcPr>
            <w:tcW w:type="dxa" w:w="1234"/>
          </w:tcPr>
          <w:p>
            <w:r>
              <w:rPr>
                <w:rFonts w:ascii="Calibri" w:hAnsi="Calibri"/>
                <w:sz w:val="22"/>
              </w:rPr>
              <w:t>May 4, 2026</w:t>
            </w:r>
          </w:p>
        </w:tc>
        <w:tc>
          <w:tcPr>
            <w:tcW w:type="dxa" w:w="1234"/>
          </w:tcPr>
          <w:p>
            <w:r>
              <w:rPr>
                <w:rFonts w:ascii="Calibri" w:hAnsi="Calibri"/>
                <w:sz w:val="22"/>
              </w:rPr>
              <w:t>May 6, 2026</w:t>
            </w:r>
          </w:p>
        </w:tc>
        <w:tc>
          <w:tcPr>
            <w:tcW w:type="dxa" w:w="1234"/>
          </w:tcPr>
          <w:p>
            <w:r>
              <w:rPr>
                <w:rFonts w:ascii="Calibri" w:hAnsi="Calibri"/>
                <w:sz w:val="22"/>
              </w:rPr>
              <w:t>Discretionary; no 10b5-1 plan indicated</w:t>
            </w:r>
          </w:p>
        </w:tc>
      </w:tr>
      <w:tr>
        <w:tc>
          <w:tcPr>
            <w:tcW w:type="dxa" w:w="1234"/>
          </w:tcPr>
          <w:p>
            <w:r>
              <w:rPr>
                <w:rFonts w:ascii="Calibri" w:hAnsi="Calibri"/>
                <w:sz w:val="22"/>
              </w:rPr>
              <w:t>Ford Bradley</w:t>
            </w:r>
          </w:p>
        </w:tc>
        <w:tc>
          <w:tcPr>
            <w:tcW w:type="dxa" w:w="1234"/>
          </w:tcPr>
          <w:p>
            <w:r>
              <w:rPr>
                <w:rFonts w:ascii="Calibri" w:hAnsi="Calibri"/>
                <w:sz w:val="22"/>
              </w:rPr>
              <w:t>Executive Vice President</w:t>
            </w:r>
          </w:p>
        </w:tc>
        <w:tc>
          <w:tcPr>
            <w:tcW w:type="dxa" w:w="1234"/>
          </w:tcPr>
          <w:p>
            <w:r>
              <w:rPr>
                <w:rFonts w:ascii="Calibri" w:hAnsi="Calibri"/>
                <w:sz w:val="22"/>
              </w:rPr>
              <w:t>Open Market Sale</w:t>
            </w:r>
          </w:p>
        </w:tc>
        <w:tc>
          <w:tcPr>
            <w:tcW w:type="dxa" w:w="1234"/>
          </w:tcPr>
          <w:p>
            <w:r>
              <w:rPr>
                <w:rFonts w:ascii="Calibri" w:hAnsi="Calibri"/>
                <w:sz w:val="22"/>
              </w:rPr>
              <w:t>2,240</w:t>
            </w:r>
          </w:p>
        </w:tc>
        <w:tc>
          <w:tcPr>
            <w:tcW w:type="dxa" w:w="1234"/>
          </w:tcPr>
          <w:p>
            <w:r>
              <w:rPr>
                <w:rFonts w:ascii="Calibri" w:hAnsi="Calibri"/>
                <w:sz w:val="22"/>
              </w:rPr>
              <w:t>May 5, 2026</w:t>
            </w:r>
          </w:p>
        </w:tc>
        <w:tc>
          <w:tcPr>
            <w:tcW w:type="dxa" w:w="1234"/>
          </w:tcPr>
          <w:p>
            <w:r>
              <w:rPr>
                <w:rFonts w:ascii="Calibri" w:hAnsi="Calibri"/>
                <w:sz w:val="22"/>
              </w:rPr>
              <w:t>May 7, 2026</w:t>
            </w:r>
          </w:p>
        </w:tc>
        <w:tc>
          <w:tcPr>
            <w:tcW w:type="dxa" w:w="1234"/>
          </w:tcPr>
          <w:p>
            <w:r>
              <w:rPr>
                <w:rFonts w:ascii="Calibri" w:hAnsi="Calibri"/>
                <w:sz w:val="22"/>
              </w:rPr>
              <w:t>Discretionary; no 10b5-1 plan indicated</w:t>
            </w:r>
          </w:p>
        </w:tc>
      </w:tr>
      <w:tr>
        <w:tc>
          <w:tcPr>
            <w:tcW w:type="dxa" w:w="1234"/>
          </w:tcPr>
          <w:p>
            <w:r>
              <w:rPr>
                <w:rFonts w:ascii="Calibri" w:hAnsi="Calibri"/>
                <w:sz w:val="22"/>
              </w:rPr>
              <w:t>Spicer Randy J</w:t>
            </w:r>
          </w:p>
        </w:tc>
        <w:tc>
          <w:tcPr>
            <w:tcW w:type="dxa" w:w="1234"/>
          </w:tcPr>
          <w:p>
            <w:r>
              <w:rPr>
                <w:rFonts w:ascii="Calibri" w:hAnsi="Calibri"/>
                <w:sz w:val="22"/>
              </w:rPr>
              <w:t>Executive Vice President</w:t>
            </w:r>
          </w:p>
        </w:tc>
        <w:tc>
          <w:tcPr>
            <w:tcW w:type="dxa" w:w="1234"/>
          </w:tcPr>
          <w:p>
            <w:r>
              <w:rPr>
                <w:rFonts w:ascii="Calibri" w:hAnsi="Calibri"/>
                <w:sz w:val="22"/>
              </w:rPr>
              <w:t>Open Market Sale</w:t>
            </w:r>
          </w:p>
        </w:tc>
        <w:tc>
          <w:tcPr>
            <w:tcW w:type="dxa" w:w="1234"/>
          </w:tcPr>
          <w:p>
            <w:r>
              <w:rPr>
                <w:rFonts w:ascii="Calibri" w:hAnsi="Calibri"/>
                <w:sz w:val="22"/>
              </w:rPr>
              <w:t>2,500</w:t>
            </w:r>
          </w:p>
        </w:tc>
        <w:tc>
          <w:tcPr>
            <w:tcW w:type="dxa" w:w="1234"/>
          </w:tcPr>
          <w:p>
            <w:r>
              <w:rPr>
                <w:rFonts w:ascii="Calibri" w:hAnsi="Calibri"/>
                <w:sz w:val="22"/>
              </w:rPr>
              <w:t>May 18, 2026</w:t>
            </w:r>
          </w:p>
        </w:tc>
        <w:tc>
          <w:tcPr>
            <w:tcW w:type="dxa" w:w="1234"/>
          </w:tcPr>
          <w:p>
            <w:r>
              <w:rPr>
                <w:rFonts w:ascii="Calibri" w:hAnsi="Calibri"/>
                <w:sz w:val="22"/>
              </w:rPr>
              <w:t>May 20, 2026</w:t>
            </w:r>
          </w:p>
        </w:tc>
        <w:tc>
          <w:tcPr>
            <w:tcW w:type="dxa" w:w="1234"/>
          </w:tcPr>
          <w:p>
            <w:r>
              <w:rPr>
                <w:rFonts w:ascii="Calibri" w:hAnsi="Calibri"/>
                <w:sz w:val="22"/>
              </w:rPr>
              <w:t>Discretionary; no 10b5-1 plan indicated</w:t>
            </w:r>
          </w:p>
        </w:tc>
      </w:tr>
      <w:tr>
        <w:tc>
          <w:tcPr>
            <w:tcW w:type="dxa" w:w="1234"/>
          </w:tcPr>
          <w:p>
            <w:r>
              <w:rPr>
                <w:rFonts w:ascii="Calibri" w:hAnsi="Calibri"/>
                <w:sz w:val="22"/>
              </w:rPr>
              <w:t>Query Kenneth Rex</w:t>
            </w:r>
          </w:p>
        </w:tc>
        <w:tc>
          <w:tcPr>
            <w:tcW w:type="dxa" w:w="1234"/>
          </w:tcPr>
          <w:p>
            <w:r>
              <w:rPr>
                <w:rFonts w:ascii="Calibri" w:hAnsi="Calibri"/>
                <w:sz w:val="22"/>
              </w:rPr>
              <w:t>Executive Vice President</w:t>
            </w:r>
          </w:p>
        </w:tc>
        <w:tc>
          <w:tcPr>
            <w:tcW w:type="dxa" w:w="1234"/>
          </w:tcPr>
          <w:p>
            <w:r>
              <w:rPr>
                <w:rFonts w:ascii="Calibri" w:hAnsi="Calibri"/>
                <w:sz w:val="22"/>
              </w:rPr>
              <w:t>Open Market Sale</w:t>
            </w:r>
          </w:p>
        </w:tc>
        <w:tc>
          <w:tcPr>
            <w:tcW w:type="dxa" w:w="1234"/>
          </w:tcPr>
          <w:p>
            <w:r>
              <w:rPr>
                <w:rFonts w:ascii="Calibri" w:hAnsi="Calibri"/>
                <w:sz w:val="22"/>
              </w:rPr>
              <w:t>13,529</w:t>
            </w:r>
          </w:p>
        </w:tc>
        <w:tc>
          <w:tcPr>
            <w:tcW w:type="dxa" w:w="1234"/>
          </w:tcPr>
          <w:p>
            <w:r>
              <w:rPr>
                <w:rFonts w:ascii="Calibri" w:hAnsi="Calibri"/>
                <w:sz w:val="22"/>
              </w:rPr>
              <w:t>Jun 1, 2026</w:t>
            </w:r>
          </w:p>
        </w:tc>
        <w:tc>
          <w:tcPr>
            <w:tcW w:type="dxa" w:w="1234"/>
          </w:tcPr>
          <w:p>
            <w:r>
              <w:rPr>
                <w:rFonts w:ascii="Calibri" w:hAnsi="Calibri"/>
                <w:sz w:val="22"/>
              </w:rPr>
              <w:t>Jun 3, 2026</w:t>
            </w:r>
          </w:p>
        </w:tc>
        <w:tc>
          <w:tcPr>
            <w:tcW w:type="dxa" w:w="1234"/>
          </w:tcPr>
          <w:p>
            <w:r>
              <w:rPr>
                <w:rFonts w:ascii="Calibri" w:hAnsi="Calibri"/>
                <w:sz w:val="22"/>
              </w:rPr>
              <w:t>Executed near the stock’s 52-week high (~$260 range); discretionary</w:t>
            </w:r>
          </w:p>
        </w:tc>
      </w:tr>
      <w:tr>
        <w:tc>
          <w:tcPr>
            <w:tcW w:type="dxa" w:w="1234"/>
          </w:tcPr>
          <w:p>
            <w:r>
              <w:rPr>
                <w:rFonts w:ascii="Calibri" w:hAnsi="Calibri"/>
                <w:sz w:val="22"/>
              </w:rPr>
              <w:t>Needham Daniel R.</w:t>
            </w:r>
          </w:p>
        </w:tc>
        <w:tc>
          <w:tcPr>
            <w:tcW w:type="dxa" w:w="1234"/>
          </w:tcPr>
          <w:p>
            <w:r>
              <w:rPr>
                <w:rFonts w:ascii="Calibri" w:hAnsi="Calibri"/>
                <w:sz w:val="22"/>
              </w:rPr>
              <w:t>Executive Vice President (retiring)</w:t>
            </w:r>
          </w:p>
        </w:tc>
        <w:tc>
          <w:tcPr>
            <w:tcW w:type="dxa" w:w="1234"/>
          </w:tcPr>
          <w:p>
            <w:r>
              <w:rPr>
                <w:rFonts w:ascii="Calibri" w:hAnsi="Calibri"/>
                <w:sz w:val="22"/>
              </w:rPr>
              <w:t>Form 144 (Intended Sale)</w:t>
            </w:r>
          </w:p>
        </w:tc>
        <w:tc>
          <w:tcPr>
            <w:tcW w:type="dxa" w:w="1234"/>
          </w:tcPr>
          <w:p>
            <w:r>
              <w:rPr>
                <w:rFonts w:ascii="Calibri" w:hAnsi="Calibri"/>
                <w:sz w:val="22"/>
              </w:rPr>
              <w:t>~$4.2M value</w:t>
            </w:r>
          </w:p>
        </w:tc>
        <w:tc>
          <w:tcPr>
            <w:tcW w:type="dxa" w:w="1234"/>
          </w:tcPr>
          <w:p>
            <w:r>
              <w:rPr>
                <w:rFonts w:ascii="Calibri" w:hAnsi="Calibri"/>
                <w:sz w:val="22"/>
              </w:rPr>
              <w:t>Jul 23, 2026 (filing date)</w:t>
            </w:r>
          </w:p>
        </w:tc>
        <w:tc>
          <w:tcPr>
            <w:tcW w:type="dxa" w:w="1234"/>
          </w:tcPr>
          <w:p>
            <w:r>
              <w:rPr>
                <w:rFonts w:ascii="Calibri" w:hAnsi="Calibri"/>
                <w:sz w:val="22"/>
              </w:rPr>
              <w:t>Jul 23, 2026</w:t>
            </w:r>
          </w:p>
        </w:tc>
        <w:tc>
          <w:tcPr>
            <w:tcW w:type="dxa" w:w="1234"/>
          </w:tcPr>
          <w:p>
            <w:r>
              <w:rPr>
                <w:rFonts w:ascii="Calibri" w:hAnsi="Calibri"/>
                <w:sz w:val="22"/>
              </w:rPr>
              <w:t>Departing executive; intended sale ahead of retirement; not a discretionary signal from active management</w:t>
            </w:r>
          </w:p>
        </w:tc>
      </w:tr>
    </w:tbl>
    <w:p>
      <w:r>
        <w:rPr>
          <w:rFonts w:ascii="Calibri" w:hAnsi="Calibri"/>
          <w:b/>
          <w:color w:val="525866"/>
          <w:sz w:val="22"/>
        </w:rPr>
        <w:t xml:space="preserve">Assessment: </w:t>
      </w:r>
      <w:r>
        <w:rPr>
          <w:rFonts w:ascii="Calibri" w:hAnsi="Calibri"/>
          <w:color w:val="525866"/>
          <w:sz w:val="22"/>
        </w:rPr>
        <w:t>The cluster of eight executive sales in the 30 days following Q1 earnings is notable in breadth (six different EVPs plus the Controller and a departing executive) but not alarming in context — the stock had just rallied sharply on a significant earnings beat, and selling into strength after a large move is a common pattern. No open-market buys were recorded in the period, and no 10b5-1 plan initiations were disclosed. The Needham Form 144 (July 23) is retirement-driven and should not be read as a fundamental signal. The absence of any buying by the new CFO (Jack Sullivan) or CEO (Leon Topalian) is worth noting but not unusual given the pre-earnings quiet period.</w:t>
      </w:r>
    </w:p>
    <w:p>
      <w:r>
        <w:rPr>
          <w:rFonts w:ascii="Calibri" w:hAnsi="Calibri"/>
          <w:i/>
          <w:color w:val="525866"/>
          <w:sz w:val="22"/>
        </w:rPr>
        <w:t>Source: SEC Form 4 Filings Database (Insider Transaction Data); SEC Form 144 filing (Needham Daniel R., July 23, 2026).</w:t>
      </w:r>
    </w:p>
    <w:sectPr w:rsidR="00FC693F" w:rsidRPr="0006063C" w:rsidSect="00034616">
      <w:headerReference w:type="default" r:id="rId9"/>
      <w:footerReference w:type="default" r:id="rId10"/>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tabs>
        <w:tab w:pos="8640" w:val="right"/>
      </w:tabs>
      <w:spacing w:before="0" w:after="0" w:line="240" w:lineRule="auto"/>
      <w:jc w:val="left"/>
    </w:pPr>
    <w:r>
      <w:rPr>
        <w:rFonts w:ascii="Calibri" w:hAnsi="Calibri"/>
        <w:i/>
        <w:color w:val="525866"/>
        <w:sz w:val="20"/>
      </w:rPr>
      <w:t>We do the work, you make the call</w:t>
    </w:r>
    <w:r>
      <w:tab/>
    </w:r>
    <w:r>
      <w:rPr>
        <w:rFonts w:ascii="Calibri" w:hAnsi="Calibri"/>
        <w:i/>
        <w:color w:val="FB9120"/>
        <w:sz w:val="20"/>
      </w:rPr>
      <w:t>app.implied.com/trial</w:t>
    </w:r>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tabs>
        <w:tab w:pos="8640" w:val="right"/>
      </w:tabs>
      <w:spacing w:before="0" w:after="0" w:line="240" w:lineRule="auto"/>
      <w:jc w:val="left"/>
    </w:pPr>
    <w:r>
      <w:drawing>
        <wp:inline xmlns:a="http://schemas.openxmlformats.org/drawingml/2006/main" xmlns:pic="http://schemas.openxmlformats.org/drawingml/2006/picture">
          <wp:extent cx="5486400" cy="274320"/>
          <wp:docPr id="1" name="Picture 1"/>
          <wp:cNvGraphicFramePr>
            <a:graphicFrameLocks noChangeAspect="1"/>
          </wp:cNvGraphicFramePr>
          <a:graphic>
            <a:graphicData uri="http://schemas.openxmlformats.org/drawingml/2006/picture">
              <pic:pic>
                <pic:nvPicPr>
                  <pic:cNvPr id="0" name="ImpliedPromotionalHeader.png"/>
                  <pic:cNvPicPr/>
                </pic:nvPicPr>
                <pic:blipFill>
                  <a:blip r:embed="rId1"/>
                  <a:stretch>
                    <a:fillRect/>
                  </a:stretch>
                </pic:blipFill>
                <pic:spPr>
                  <a:xfrm>
                    <a:off x="0" y="0"/>
                    <a:ext cx="5486400" cy="274320"/>
                  </a:xfrm>
                  <a:prstGeom prst="rect"/>
                </pic:spPr>
              </pic:pic>
            </a:graphicData>
          </a:graphic>
        </wp:inline>
      </w:drawing>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rPr>
      <w:rFonts w:ascii="Calibri" w:hAnsi="Calibri"/>
      <w:sz w:val="22"/>
    </w:r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eader" Target="header1.xml"/><Relationship Id="rId10"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