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OTIS before writing the preview. Let me pull recent earnings materials, filings, and news.Let me read the most recent earnings materials and the year-ago Q2 for comparison.Let me get the year-ago Q2 comparison and recent stock performance.Let me read the year-ago Q2 2025 release to establish the comparison base.I now have what I need. Let me write the preview.</w:t>
      </w:r>
    </w:p>
    <w:bookmarkStart w:id="20" w:name="Xa05009674ced4fd32e69b7cd71bcae39577ff11"/>
    <w:p>
      <w:pPr>
        <w:pStyle w:val="Heading1"/>
      </w:pPr>
      <w:r>
        <w:t xml:space="preserve">OTIS Worldwide (OTIS) — Q2 2026 Earnings Preview</w:t>
      </w:r>
    </w:p>
    <w:bookmarkStart w:id="9" w:name="X5d9459fb478573fb58d46df615b4e44a5302957"/>
    <w:p>
      <w:pPr>
        <w:pStyle w:val="Heading3"/>
      </w:pPr>
      <w:r>
        <w:t xml:space="preserve">Reports Wednesday, July 22, 2026 (before market open) | 2026Q2 Earnings Call</w:t>
      </w:r>
    </w:p>
    <w:p>
      <w:r>
        <w:pict>
          <v:rect style="width:0;height:1.5pt" o:hralign="center" o:hrstd="t" o:hr="t"/>
        </w:pict>
      </w:r>
    </w:p>
    <w:bookmarkEnd w:id="9"/>
    <w:bookmarkStart w:id="10" w:name="the-one-sentence-setup"/>
    <w:p>
      <w:pPr>
        <w:pStyle w:val="Heading2"/>
      </w:pPr>
      <w:r>
        <w:t xml:space="preserve">The one-sentence setup</w:t>
      </w:r>
    </w:p>
    <w:p>
      <w:pPr>
        <w:pStyle w:val="FirstParagraph"/>
      </w:pPr>
      <w:r>
        <w:t xml:space="preserve">Otis heads into Q2 with a de-rated stock, a guidance cut still fresh in investors' minds, and a "trust us, the second half gets better" story that management now has to start proving. The number that matters most is not EPS — it's the</w:t>
      </w:r>
      <w:r>
        <w:t xml:space="preserve"> </w:t>
      </w:r>
      <w:r>
        <w:rPr>
          <w:b/>
          <w:bCs/>
        </w:rPr>
        <w:t xml:space="preserve">Service operating margin trajectory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0"/>
    <w:bookmarkStart w:id="11" w:name="where-the-stock-sits"/>
    <w:p>
      <w:pPr>
        <w:pStyle w:val="Heading2"/>
      </w:pPr>
      <w:r>
        <w:t xml:space="preserve">Where the stock sits</w:t>
      </w:r>
    </w:p>
    <w:p>
      <w:pPr>
        <w:pStyle w:val="FirstParagraph"/>
      </w:pPr>
      <w:r>
        <w:t xml:space="preserve">Otis has been a notable laggard in 2026. Shares closed around **</w:t>
      </w:r>
      <m:oMath>
        <m:r>
          <m:t>71.97</m:t>
        </m:r>
        <m:r>
          <m:t>o</m:t>
        </m:r>
        <m:r>
          <m:t>n</m:t>
        </m:r>
        <m:r>
          <m:t>J</m:t>
        </m:r>
        <m:r>
          <m:t>u</m:t>
        </m:r>
        <m:r>
          <m:t>l</m:t>
        </m:r>
        <m:r>
          <m:t>y</m:t>
        </m:r>
        <m:r>
          <m:t>21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d</m:t>
        </m:r>
        <m:r>
          <m:t>o</m:t>
        </m:r>
        <m:r>
          <m:t>w</m:t>
        </m:r>
        <m:r>
          <m:t>n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18</m:t>
        </m:r>
        <m:r>
          <m:rPr>
            <m:sty m:val="p"/>
          </m:rPr>
          <m:t>–</m:t>
        </m:r>
        <m:r>
          <m:t>19</m:t>
        </m:r>
      </m:oMath>
      <w:r>
        <w:t xml:space="preserve">88 in early January, even as the S&amp;P 500 (SPY) is up ~9–10% over the same stretch. The bulk of the damage came in</w:t>
      </w:r>
      <w:r>
        <w:t xml:space="preserve"> </w:t>
      </w:r>
      <w:r>
        <w:rPr>
          <w:b/>
          <w:bCs/>
        </w:rPr>
        <w:t xml:space="preserve">mid-March</w:t>
      </w:r>
      <w:r>
        <w:t xml:space="preserve"> </w:t>
      </w:r>
      <w:r>
        <w:t xml:space="preserve">(shares fell from ~</w:t>
      </w:r>
      <m:oMath>
        <m:r>
          <m:t>84</m:t>
        </m:r>
        <m:r>
          <m:t>t</m:t>
        </m:r>
        <m:r>
          <m:t>o</m:t>
        </m:r>
        <m:r>
          <m:t> </m:t>
        </m:r>
      </m:oMath>
      <w:r>
        <w:t xml:space="preserve">78 around the March 18 webcast where management pre-signaled the softer first half) and the stock has drifted lower since, hitting the low-</w:t>
      </w:r>
      <m:oMath>
        <m:r>
          <m:t>70</m:t>
        </m:r>
        <m:r>
          <m:t>s</m:t>
        </m:r>
        <m:r>
          <m:rPr>
            <m:sty m:val="p"/>
          </m:rPr>
          <m:t>/</m:t>
        </m:r>
        <m:r>
          <m:t>h</m:t>
        </m:r>
        <m:r>
          <m:t>i</m:t>
        </m:r>
        <m:r>
          <m:t>g</m:t>
        </m:r>
        <m:r>
          <m:t>h</m:t>
        </m:r>
        <m:r>
          <m:rPr>
            <m:sty m:val="p"/>
          </m:rPr>
          <m:t>−</m:t>
        </m:r>
      </m:oMath>
      <w:r>
        <w:t xml:space="preserve">60s by June.</w:t>
      </w:r>
    </w:p>
    <w:p>
      <w:pPr>
        <w:pStyle w:val="BodyText"/>
      </w:pPr>
      <w:r>
        <w:t xml:space="preserve">Sentiment into the print is cautious. A recent news digest framed it well: Otis is set to report FQ2 earnings before the US open, with sentiment neutral-to-cautious in the near-term due to a lack of meaningful data center exposure, headwinds in certain end markets (especially China), and year-over-year operating margin slide.</w:t>
      </w:r>
    </w:p>
    <w:p>
      <w:pPr>
        <w:pStyle w:val="BodyText"/>
      </w:pPr>
      <w:r>
        <w:t xml:space="preserve">So expectations are low — which cuts both ways. A clean "sequential improvement is on track" quarter could be a relief rally; any slip in the Service margin recovery narrative likely gets punished.</w:t>
      </w:r>
    </w:p>
    <w:p>
      <w:r>
        <w:pict>
          <v:rect style="width:0;height:1.5pt" o:hralign="center" o:hrstd="t" o:hr="t"/>
        </w:pict>
      </w:r>
    </w:p>
    <w:bookmarkEnd w:id="11"/>
    <w:bookmarkStart w:id="12" w:name="X1823f91d0bf02870eb62d908d496a8675afd434"/>
    <w:p>
      <w:pPr>
        <w:pStyle w:val="Heading2"/>
      </w:pPr>
      <w:r>
        <w:t xml:space="preserve">What management guided for Q2 specifically</w:t>
      </w:r>
    </w:p>
    <w:p>
      <w:pPr>
        <w:pStyle w:val="FirstParagraph"/>
      </w:pPr>
      <w:r>
        <w:t xml:space="preserve">On the Q1 call (April 22), CFO Cristina Mendez gave unusually explicit Q2 markers. Hold the print against these: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2026 guide (per mgmt)</w:t>
            </w:r>
          </w:p>
        </w:tc>
        <w:tc>
          <w:tcPr/>
          <w:p>
            <w:pPr>
              <w:pStyle w:val="Compact"/>
            </w:pPr>
            <w:r>
              <w:t xml:space="preserve">Q2 2025 actual (comp)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down 3% to 5% YoY</w:t>
            </w:r>
            <w:r>
              <w:t xml:space="preserve"> </w:t>
            </w:r>
            <w:r>
              <w:t xml:space="preserve">(~</w:t>
            </w:r>
            <m:oMath>
              <m:r>
                <m:t>1.00</m:t>
              </m:r>
              <m:r>
                <m:rPr>
                  <m:sty m:val="p"/>
                </m:rPr>
                <m:t>–</m:t>
              </m:r>
            </m:oMath>
            <w:r>
              <w:t xml:space="preserve">1.02)</w:t>
            </w:r>
          </w:p>
        </w:tc>
        <w:tc>
          <w:tcPr/>
          <w:p>
            <w:pPr>
              <w:pStyle w:val="Compact"/>
            </w:pPr>
            <w:r>
              <w:t xml:space="preserve">$1.05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profit (cc)</w:t>
            </w:r>
          </w:p>
        </w:tc>
        <w:tc>
          <w:tcPr/>
          <w:p>
            <w:pPr>
              <w:pStyle w:val="Compact"/>
            </w:pPr>
            <w:r>
              <w:t xml:space="preserve">decline "similar level" to Q1 (Q1 was −$38M cc)</w:t>
            </w:r>
          </w:p>
        </w:tc>
        <w:tc>
          <w:tcPr/>
          <w:p>
            <w:pPr>
              <w:pStyle w:val="Compact"/>
            </w:pPr>
            <w:r>
              <w:t xml:space="preserve">$612M total AOP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Service organic sales</w:t>
            </w:r>
          </w:p>
        </w:tc>
        <w:tc>
          <w:tcPr/>
          <w:p>
            <w:pPr>
              <w:pStyle w:val="Compact"/>
            </w:pPr>
            <w:r>
              <w:t xml:space="preserve">accelerating, driven by repair + mod</w:t>
            </w:r>
          </w:p>
        </w:tc>
        <w:tc>
          <w:tcPr/>
          <w:p>
            <w:pPr>
              <w:pStyle w:val="Compact"/>
            </w:pPr>
            <w:r>
              <w:t xml:space="preserve">+4% organic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Service margin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~24%</w:t>
            </w:r>
            <w:r>
              <w:t xml:space="preserve"> </w:t>
            </w:r>
            <w:r>
              <w:t xml:space="preserve">("negative BPY")</w:t>
            </w:r>
          </w:p>
        </w:tc>
        <w:tc>
          <w:tcPr/>
          <w:p>
            <w:pPr>
              <w:pStyle w:val="Compact"/>
            </w:pPr>
            <w:r>
              <w:t xml:space="preserve">24.9%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New Equipment organic</w:t>
            </w:r>
          </w:p>
        </w:tc>
        <w:tc>
          <w:tcPr/>
          <w:p>
            <w:pPr>
              <w:pStyle w:val="Compact"/>
            </w:pPr>
            <w:r>
              <w:t xml:space="preserve">decline moderating sequentially (Q1 was −5%)</w:t>
            </w:r>
          </w:p>
        </w:tc>
        <w:tc>
          <w:tcPr/>
          <w:p>
            <w:pPr>
              <w:pStyle w:val="Compact"/>
            </w:pPr>
            <w:r>
              <w:t xml:space="preserve">−11%</w:t>
            </w:r>
          </w:p>
        </w:tc>
      </w:tr>
    </w:tbl>
    <w:p>
      <w:pPr>
        <w:pStyle w:val="BodyText"/>
      </w:pPr>
      <w:r>
        <w:t xml:space="preserve">Key point: management explicitly told investors Q2 would be the</w:t>
      </w:r>
      <w:r>
        <w:t xml:space="preserve"> </w:t>
      </w:r>
      <w:r>
        <w:rPr>
          <w:b/>
          <w:bCs/>
        </w:rPr>
        <w:t xml:space="preserve">second (and last) down quarter</w:t>
      </w:r>
      <w:r>
        <w:t xml:space="preserve">, with the year-over-year profit inflection not arriving until the back half. So a weak headline Q2 is</w:t>
      </w:r>
      <w:r>
        <w:t xml:space="preserve"> </w:t>
      </w:r>
      <w:r>
        <w:rPr>
          <w:i/>
          <w:iCs/>
        </w:rPr>
        <w:t xml:space="preserve">expected</w:t>
      </w:r>
      <w:r>
        <w:t xml:space="preserve"> </w:t>
      </w:r>
      <w:r>
        <w:t xml:space="preserve">— the market has largely been warned. The debate is entirely about whether the H2 recovery is real.</w:t>
      </w:r>
    </w:p>
    <w:p>
      <w:r>
        <w:pict>
          <v:rect style="width:0;height:1.5pt" o:hralign="center" o:hrstd="t" o:hr="t"/>
        </w:pict>
      </w:r>
    </w:p>
    <w:bookmarkEnd w:id="12"/>
    <w:bookmarkStart w:id="13" w:name="X044d55289b707ca414e0d399d86686413087425"/>
    <w:p>
      <w:pPr>
        <w:pStyle w:val="Heading2"/>
      </w:pPr>
      <w:r>
        <w:t xml:space="preserve">The central issue: Service margins and the H2 "hockey stick"</w:t>
      </w:r>
    </w:p>
    <w:p>
      <w:pPr>
        <w:pStyle w:val="FirstParagraph"/>
      </w:pPr>
      <w:r>
        <w:t xml:space="preserve">Otis is a service-driven compounder — Service is ~68% of sales and carries ~23–25% margins — so the whole thesis lives or dies on Service. In Q1 that engine sputtered: Service operating profit was $556 million in the quarter, down $10 million at constant currency... As a result, service operating margin contracted 160 basis points to 23%, reflecting investments in service capacity and quality as well as ongoing cost inflation. That was far worse than the ~30 bps contraction originally guided.</w:t>
      </w:r>
    </w:p>
    <w:p>
      <w:pPr>
        <w:pStyle w:val="BodyText"/>
      </w:pPr>
      <w:r>
        <w:t xml:space="preserve">Management attributed the miss to three things: (1) growth investments (adding field/sales colleagues), (2) unfavorable portfolio mix (recent growth skewing to lower-value markets, dragging maintenance organic growth to ~2%), and (3) inflation/timing tied partly to the Middle East. They committed to **~</w:t>
      </w:r>
      <m:oMath>
        <m:r>
          <m:t>50</m:t>
        </m:r>
        <m:r>
          <m:t>M</m:t>
        </m:r>
        <m:r>
          <m:t>o</m:t>
        </m:r>
        <m:r>
          <m:t>f</m:t>
        </m:r>
        <m:r>
          <m:t>i</m:t>
        </m:r>
        <m:r>
          <m:t>n</m:t>
        </m:r>
        <m:r>
          <m:t>c</m:t>
        </m:r>
        <m:r>
          <m:t>r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a</m:t>
        </m:r>
        <m:r>
          <m:t>l</m:t>
        </m:r>
        <m:r>
          <m:t>2026</m:t>
        </m:r>
        <m:r>
          <m:t>i</m:t>
        </m:r>
        <m:r>
          <m:t>n</m:t>
        </m:r>
        <m:r>
          <m:t>v</m:t>
        </m:r>
        <m:r>
          <m:t>e</m:t>
        </m:r>
        <m:r>
          <m:t>s</m:t>
        </m:r>
        <m:r>
          <m:t>t</m:t>
        </m:r>
        <m:r>
          <m:t>m</m:t>
        </m:r>
        <m:r>
          <m:t>e</m:t>
        </m:r>
        <m:r>
          <m:t>n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p</m:t>
        </m:r>
        <m:r>
          <m:t>l</m:t>
        </m:r>
        <m:r>
          <m:t>u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20M of run-rate cost takeout** in non-frontline functions (~$10M in 2026).</w:t>
      </w:r>
    </w:p>
    <w:p>
      <w:pPr>
        <w:pStyle w:val="BodyText"/>
      </w:pPr>
      <w:r>
        <w:t xml:space="preserve">Crucially, Mendez laid out an explicit quarterly ramp that becomes the scorecard for the year:</w:t>
      </w:r>
    </w:p>
    <w:p>
      <w:pPr>
        <w:pStyle w:val="BlockText"/>
      </w:pPr>
      <w:r>
        <w:t xml:space="preserve">Q1 = 23% (−160 bps) →</w:t>
      </w:r>
      <w:r>
        <w:t xml:space="preserve"> </w:t>
      </w:r>
      <w:r>
        <w:rPr>
          <w:b/>
          <w:bCs/>
        </w:rPr>
        <w:t xml:space="preserve">Q2 ≈ 24%</w:t>
      </w:r>
      <w:r>
        <w:t xml:space="preserve"> </w:t>
      </w:r>
      <w:r>
        <w:t xml:space="preserve">(still down YoY) → Q3 "stabilize" →</w:t>
      </w:r>
      <w:r>
        <w:t xml:space="preserve"> </w:t>
      </w:r>
      <w:r>
        <w:rPr>
          <w:b/>
          <w:bCs/>
        </w:rPr>
        <w:t xml:space="preserve">Q4 back to YoY expansion</w:t>
      </w:r>
      <w:r>
        <w:t xml:space="preserve"> </w:t>
      </w:r>
      <w:r>
        <w:t xml:space="preserve">→ full-year "high 24s."</w:t>
      </w:r>
    </w:p>
    <w:p>
      <w:pPr>
        <w:pStyle w:val="FirstParagraph"/>
      </w:pPr>
      <w:r>
        <w:t xml:space="preserve">What to check Wednesday: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Did Q2 Service margin actually land near ~24%?</w:t>
      </w:r>
      <w:r>
        <w:t xml:space="preserve"> </w:t>
      </w:r>
      <w:r>
        <w:t xml:space="preserve">A print meaningfully below that breaks the sequential-improvement story.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Maintenance organic growth</w:t>
      </w:r>
      <w:r>
        <w:t xml:space="preserve"> </w:t>
      </w:r>
      <w:r>
        <w:t xml:space="preserve">— the target is a re-acceleration toward</w:t>
      </w:r>
      <w:r>
        <w:t xml:space="preserve"> </w:t>
      </w:r>
      <w:r>
        <w:rPr>
          <w:b/>
          <w:bCs/>
        </w:rPr>
        <w:t xml:space="preserve">3% by year-end</w:t>
      </w:r>
      <w:r>
        <w:t xml:space="preserve"> </w:t>
      </w:r>
      <w:r>
        <w:t xml:space="preserve">(from ~2% in Q1). Any progress here is the leading indicator.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Retention rate commentary</w:t>
      </w:r>
      <w:r>
        <w:t xml:space="preserve"> </w:t>
      </w:r>
      <w:r>
        <w:t xml:space="preserve">— management said retention stabilized and was up ~50 bps YoY vs. a 94.5% ex-China exit rate in 2025. This is the metric they're spending to protect; watch for confidence (or hedging) on Europe, which is &gt;55% of the portfolio and where Q1 portfolio gains disappointed.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Micro-pricing / AI pricing rollout and fuel/logistics surcharges</w:t>
      </w:r>
      <w:r>
        <w:t xml:space="preserve"> </w:t>
      </w:r>
      <w:r>
        <w:t xml:space="preserve">— the pricing tailwind is supposed to compound through H2.</w:t>
      </w:r>
    </w:p>
    <w:p>
      <w:r>
        <w:pict>
          <v:rect style="width:0;height:1.5pt" o:hralign="center" o:hrstd="t" o:hr="t"/>
        </w:pict>
      </w:r>
    </w:p>
    <w:bookmarkEnd w:id="13"/>
    <w:bookmarkStart w:id="14" w:name="Xb9a1e82dde06bffb44678b9ddf9ca46ffd3cad2"/>
    <w:p>
      <w:pPr>
        <w:pStyle w:val="Heading2"/>
      </w:pPr>
      <w:r>
        <w:t xml:space="preserve">The bright spots: orders, backlog, and Modernization</w:t>
      </w:r>
    </w:p>
    <w:p>
      <w:pPr>
        <w:pStyle w:val="FirstParagraph"/>
      </w:pPr>
      <w:r>
        <w:t xml:space="preserve">The forward-looking indicators remain genuinely strong, which is the bull case:</w:t>
      </w:r>
    </w:p>
    <w:p>
      <w:pPr>
        <w:pStyle w:val="Compact"/>
        <w:numPr>
          <w:ilvl w:val="0"/>
          <w:numId w:val="1002"/>
        </w:numPr>
      </w:pPr>
      <w:r>
        <w:t xml:space="preserve">In modernization, we continue to see strong demand with orders up 11% in the quarter and the backlog up 30% at constant currency.</w:t>
      </w:r>
    </w:p>
    <w:p>
      <w:pPr>
        <w:pStyle w:val="Compact"/>
        <w:numPr>
          <w:ilvl w:val="0"/>
          <w:numId w:val="1002"/>
        </w:numPr>
      </w:pPr>
      <w:r>
        <w:t xml:space="preserve">Total backlog is approaching $20 billion — historically high — giving multi-year revenue visibility.</w:t>
      </w:r>
    </w:p>
    <w:p>
      <w:pPr>
        <w:pStyle w:val="Compact"/>
        <w:numPr>
          <w:ilvl w:val="0"/>
          <w:numId w:val="1002"/>
        </w:numPr>
      </w:pPr>
      <w:r>
        <w:t xml:space="preserve">Repair (Otis's highest-margin line) grew ~10% organically and management expects **~10% per quarter** to continue.</w:t>
      </w:r>
    </w:p>
    <w:p>
      <w:pPr>
        <w:pStyle w:val="Compact"/>
        <w:numPr>
          <w:ilvl w:val="0"/>
          <w:numId w:val="1002"/>
        </w:numPr>
      </w:pPr>
      <w:r>
        <w:t xml:space="preserve">New Equipment orders returned to growth (+1% cc, +5% ex-China), with</w:t>
      </w:r>
      <w:r>
        <w:t xml:space="preserve"> </w:t>
      </w:r>
      <w:r>
        <w:rPr>
          <w:b/>
          <w:bCs/>
        </w:rPr>
        <w:t xml:space="preserve">Americas orders +20%</w:t>
      </w:r>
      <w:r>
        <w:t xml:space="preserve"> </w:t>
      </w:r>
      <w:r>
        <w:t xml:space="preserve">for a seventh straight quarter.</w:t>
      </w:r>
    </w:p>
    <w:p>
      <w:pPr>
        <w:pStyle w:val="FirstParagraph"/>
      </w:pPr>
      <w:r>
        <w:t xml:space="preserve">Watch whether these order/backlog trends hold in Q2 — particularly Modernization orders (management wants "low teens or above" on a sustained basis) and whether the strong Americas NE backlog begins converting to revenue growth (they've guided Americas NE to turn positive for full-year 2026).</w:t>
      </w:r>
    </w:p>
    <w:p>
      <w:r>
        <w:pict>
          <v:rect style="width:0;height:1.5pt" o:hralign="center" o:hrstd="t" o:hr="t"/>
        </w:pict>
      </w:r>
    </w:p>
    <w:bookmarkEnd w:id="14"/>
    <w:bookmarkStart w:id="15" w:name="china-and-new-equipment"/>
    <w:p>
      <w:pPr>
        <w:pStyle w:val="Heading2"/>
      </w:pPr>
      <w:r>
        <w:t xml:space="preserve">China and New Equipment</w:t>
      </w:r>
    </w:p>
    <w:p>
      <w:pPr>
        <w:pStyle w:val="FirstParagraph"/>
      </w:pPr>
      <w:r>
        <w:t xml:space="preserve">China remains the overhang but the narrative is stabilization, not collapse. Management believes the worst of the market decline is behind us, with China now down to ~9% of total revenue and, notably, service revenue exceeding new-equipment revenue there for the first time. Watch for: China NE orders (down low-teens in Q1), Mod momentum from the bond-stimulus program (Q1 China Mod orders were up &gt;50%), and any change to the "industry units down 2% globally in 2026" market view.</w:t>
      </w:r>
    </w:p>
    <w:p>
      <w:pPr>
        <w:pStyle w:val="BodyText"/>
      </w:pPr>
      <w:r>
        <w:t xml:space="preserve">New Equipment margins are the other soft spot — Q1 fell to 3.3%. Management expects ~3% for the balance of the year with a modest tariff</w:t>
      </w:r>
      <w:r>
        <w:t xml:space="preserve"> </w:t>
      </w:r>
      <w:r>
        <w:rPr>
          <w:i/>
          <w:iCs/>
        </w:rPr>
        <w:t xml:space="preserve">tailwind</w:t>
      </w:r>
      <w:r>
        <w:t xml:space="preserve"> </w:t>
      </w:r>
      <w:r>
        <w:t xml:space="preserve">(~$10M favorable vs. original guide under the updated Section 232 / IEEPA rules). Confirm the tariff assumption holds.</w:t>
      </w:r>
    </w:p>
    <w:p>
      <w:r>
        <w:pict>
          <v:rect style="width:0;height:1.5pt" o:hralign="center" o:hrstd="t" o:hr="t"/>
        </w:pict>
      </w:r>
    </w:p>
    <w:bookmarkEnd w:id="15"/>
    <w:bookmarkStart w:id="16" w:name="middle-east--the-swing-risk-on-guidance"/>
    <w:p>
      <w:pPr>
        <w:pStyle w:val="Heading2"/>
      </w:pPr>
      <w:r>
        <w:t xml:space="preserve">Middle East — the swing risk on guidance</w:t>
      </w:r>
    </w:p>
    <w:p>
      <w:pPr>
        <w:pStyle w:val="FirstParagraph"/>
      </w:pPr>
      <w:r>
        <w:t xml:space="preserve">The full-year guide</w:t>
      </w:r>
      <w:r>
        <w:t xml:space="preserve"> </w:t>
      </w:r>
      <w:r>
        <w:rPr>
          <w:b/>
          <w:bCs/>
        </w:rPr>
        <w:t xml:space="preserve">assumes the Middle East conflict ended in Q2</w:t>
      </w:r>
      <w:r>
        <w:t xml:space="preserve">. Management flagged: should it continue, we expect it to have a negative impact to profit of $5 million to $10 million per quarter due to project delays, logistic interruptions and increased costs. This is the cleanest binary catalyst on the call — listen for whether project execution/logistics have normalized. Full-year profit impact is expected to be neutral (recovered via pricing), but timing matters for the quarterly cadence.</w:t>
      </w:r>
    </w:p>
    <w:p>
      <w:r>
        <w:pict>
          <v:rect style="width:0;height:1.5pt" o:hralign="center" o:hrstd="t" o:hr="t"/>
        </w:pict>
      </w:r>
    </w:p>
    <w:bookmarkEnd w:id="16"/>
    <w:bookmarkStart w:id="17" w:name="full-year-guide--will-they-hold-it"/>
    <w:p>
      <w:pPr>
        <w:pStyle w:val="Heading2"/>
      </w:pPr>
      <w:r>
        <w:t xml:space="preserve">Full-year guide — will they hold it?</w:t>
      </w:r>
    </w:p>
    <w:p>
      <w:pPr>
        <w:pStyle w:val="FirstParagraph"/>
      </w:pPr>
      <w:r>
        <w:t xml:space="preserve">Q1 already trimmed the top end. Current FY2026 framework:</w:t>
      </w:r>
    </w:p>
    <w:p>
      <w:pPr>
        <w:pStyle w:val="Compact"/>
        <w:numPr>
          <w:ilvl w:val="0"/>
          <w:numId w:val="1003"/>
        </w:numPr>
      </w:pPr>
      <w:r>
        <w:t xml:space="preserve">Net sales</w:t>
      </w:r>
      <w:r>
        <w:t xml:space="preserve"> </w:t>
      </w:r>
      <m:oMath>
        <m:r>
          <m:t>15.1</m:t>
        </m:r>
        <m:r>
          <m:rPr>
            <m:sty m:val="p"/>
          </m:rPr>
          <m:t>–</m:t>
        </m:r>
      </m:oMath>
      <w:r>
        <w:rPr>
          <w:b/>
          <w:bCs/>
        </w:rPr>
        <w:t xml:space="preserve">15.3B</w:t>
      </w:r>
      <w:r>
        <w:t xml:space="preserve">; organic</w:t>
      </w:r>
      <w:r>
        <w:t xml:space="preserve"> </w:t>
      </w:r>
      <w:r>
        <w:rPr>
          <w:b/>
          <w:bCs/>
        </w:rPr>
        <w:t xml:space="preserve">low-to-mid single digits</w:t>
      </w:r>
    </w:p>
    <w:p>
      <w:pPr>
        <w:pStyle w:val="Compact"/>
        <w:numPr>
          <w:ilvl w:val="0"/>
          <w:numId w:val="1003"/>
        </w:numPr>
      </w:pPr>
      <w:r>
        <w:t xml:space="preserve">Adjusted operating profit **~</w:t>
      </w:r>
      <m:oMath>
        <m:r>
          <m:t>2.5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rPr>
            <m:sty m:val="p"/>
          </m:rPr>
          <m:t>+</m:t>
        </m:r>
      </m:oMath>
      <w:r>
        <w:t xml:space="preserve">20–60M cc)</w:t>
      </w:r>
    </w:p>
    <w:p>
      <w:pPr>
        <w:pStyle w:val="Compact"/>
        <w:numPr>
          <w:ilvl w:val="0"/>
          <w:numId w:val="1003"/>
        </w:numPr>
      </w:pPr>
      <w:r>
        <w:t xml:space="preserve">Adjusted EPS</w:t>
      </w:r>
      <w:r>
        <w:t xml:space="preserve"> </w:t>
      </w:r>
      <m:oMath>
        <m:r>
          <m:t>4.20</m:t>
        </m:r>
        <m:r>
          <m:rPr>
            <m:sty m:val="p"/>
          </m:rPr>
          <m:t>–</m:t>
        </m:r>
      </m:oMath>
      <w:r>
        <w:rPr>
          <w:b/>
          <w:bCs/>
        </w:rPr>
        <w:t xml:space="preserve">4.24</w:t>
      </w:r>
      <w:r>
        <w:t xml:space="preserve"> </w:t>
      </w:r>
      <w:r>
        <w:t xml:space="preserve">(mid-single-digit growth vs. 2025)</w:t>
      </w:r>
    </w:p>
    <w:p>
      <w:pPr>
        <w:pStyle w:val="Compact"/>
        <w:numPr>
          <w:ilvl w:val="0"/>
          <w:numId w:val="1003"/>
        </w:numPr>
      </w:pPr>
      <w:r>
        <w:t xml:space="preserve">Adjusted free cash flow</w:t>
      </w:r>
      <w:r>
        <w:t xml:space="preserve"> </w:t>
      </w:r>
      <m:oMath>
        <m:r>
          <m:t>1.6</m:t>
        </m:r>
        <m:r>
          <m:rPr>
            <m:sty m:val="p"/>
          </m:rPr>
          <m:t>–</m:t>
        </m:r>
      </m:oMath>
      <w:r>
        <w:rPr>
          <w:b/>
          <w:bCs/>
        </w:rPr>
        <w:t xml:space="preserve">1.65B</w:t>
      </w:r>
    </w:p>
    <w:p>
      <w:pPr>
        <w:pStyle w:val="FirstParagraph"/>
      </w:pPr>
      <w:r>
        <w:t xml:space="preserve">The debate: management is guiding to a</w:t>
      </w:r>
      <w:r>
        <w:t xml:space="preserve"> </w:t>
      </w:r>
      <w:r>
        <w:rPr>
          <w:b/>
          <w:bCs/>
        </w:rPr>
        <w:t xml:space="preserve">second-half-weighted year</w:t>
      </w:r>
      <w:r>
        <w:t xml:space="preserve"> </w:t>
      </w:r>
      <w:r>
        <w:t xml:space="preserve">where Service margin flips from −160 bps to YoY</w:t>
      </w:r>
      <w:r>
        <w:t xml:space="preserve"> </w:t>
      </w:r>
      <w:r>
        <w:rPr>
          <w:i/>
          <w:iCs/>
        </w:rPr>
        <w:t xml:space="preserve">expansion</w:t>
      </w:r>
      <w:r>
        <w:t xml:space="preserve"> </w:t>
      </w:r>
      <w:r>
        <w:t xml:space="preserve">in Q4, maintenance re-accelerates, pricing compounds, and NE volumes recover. That's a lot stacked into H2. Given the March cut and the Q1 miss vs. its own guide,</w:t>
      </w:r>
      <w:r>
        <w:t xml:space="preserve"> </w:t>
      </w:r>
      <w:r>
        <w:rPr>
          <w:b/>
          <w:bCs/>
        </w:rPr>
        <w:t xml:space="preserve">credibility is the theme</w:t>
      </w:r>
      <w:r>
        <w:t xml:space="preserve"> </w:t>
      </w:r>
      <w:r>
        <w:t xml:space="preserve">— any further trim to EPS or FCF would likely be read harshly; a firm reaffirmation with tangible Service-margin progress is what bulls need.</w:t>
      </w:r>
    </w:p>
    <w:p>
      <w:r>
        <w:pict>
          <v:rect style="width:0;height:1.5pt" o:hralign="center" o:hrstd="t" o:hr="t"/>
        </w:pict>
      </w:r>
    </w:p>
    <w:bookmarkEnd w:id="17"/>
    <w:bookmarkStart w:id="18" w:name="X39b00013a6233a651fc4c659da1bfd0308ff30e"/>
    <w:p>
      <w:pPr>
        <w:pStyle w:val="Heading2"/>
      </w:pPr>
      <w:r>
        <w:t xml:space="preserve">Capital allocation (a support underneath the stock)</w:t>
      </w:r>
    </w:p>
    <w:p>
      <w:pPr>
        <w:pStyle w:val="Compact"/>
        <w:numPr>
          <w:ilvl w:val="0"/>
          <w:numId w:val="1004"/>
        </w:numPr>
      </w:pPr>
      <w:r>
        <w:t xml:space="preserve">Yesterday, we announced a 5% increase to our quarterly dividend. Since spin, our dividend has increased by approximately 120%.</w:t>
      </w:r>
    </w:p>
    <w:p>
      <w:pPr>
        <w:pStyle w:val="Compact"/>
        <w:numPr>
          <w:ilvl w:val="0"/>
          <w:numId w:val="1004"/>
        </w:numPr>
      </w:pPr>
      <w:r>
        <w:t xml:space="preserve">~</w:t>
      </w:r>
      <m:oMath>
        <m:r>
          <m:t>400</m:t>
        </m:r>
        <m:r>
          <m:t>M</m:t>
        </m:r>
        <m:r>
          <m:t>o</m:t>
        </m:r>
        <m:r>
          <m:t>f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t>s</m:t>
        </m:r>
        <m:r>
          <m:t>e</m:t>
        </m:r>
        <m:r>
          <m:t>x</m:t>
        </m:r>
        <m:r>
          <m:t>e</m:t>
        </m:r>
        <m:r>
          <m:t>c</m:t>
        </m:r>
        <m:r>
          <m:t>u</m:t>
        </m:r>
        <m:r>
          <m:t>t</m:t>
        </m:r>
        <m:r>
          <m:t>e</m:t>
        </m:r>
        <m:r>
          <m:t>d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;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800M targeted for the full year, front-loaded to H1** — so watch for confirmation the second tranche was completed and any signal on H2 repurchase appetite given the depressed share price.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WeMaintain</w:t>
      </w:r>
      <w:r>
        <w:t xml:space="preserve"> </w:t>
      </w:r>
      <w:r>
        <w:t xml:space="preserve">— majority investment in a digitally-native, AI-enabled service provider, to be run independently as a multi-branded complement to Otis ONE. Expect an integration/strategy update; it speaks to the defense against ISP competition.</w:t>
      </w:r>
    </w:p>
    <w:p>
      <w:r>
        <w:pict>
          <v:rect style="width:0;height:1.5pt" o:hralign="center" o:hrstd="t" o:hr="t"/>
        </w:pict>
      </w:r>
    </w:p>
    <w:bookmarkEnd w:id="18"/>
    <w:bookmarkStart w:id="19" w:name="quick-scorecard-for-wednesday-morning"/>
    <w:p>
      <w:pPr>
        <w:pStyle w:val="Heading2"/>
      </w:pPr>
      <w:r>
        <w:t xml:space="preserve">Quick scorecard for Wednesday morning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Service margin ≈ 24%?</w:t>
      </w:r>
      <w:r>
        <w:t xml:space="preserve"> </w:t>
      </w:r>
      <w:r>
        <w:t xml:space="preserve">(the make-or-break number)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Maintenance organic growth</w:t>
      </w:r>
      <w:r>
        <w:t xml:space="preserve"> </w:t>
      </w:r>
      <w:r>
        <w:t xml:space="preserve">moving back toward 3%;</w:t>
      </w:r>
      <w:r>
        <w:t xml:space="preserve"> </w:t>
      </w:r>
      <w:r>
        <w:rPr>
          <w:b/>
          <w:bCs/>
        </w:rPr>
        <w:t xml:space="preserve">retention</w:t>
      </w:r>
      <w:r>
        <w:t xml:space="preserve"> </w:t>
      </w:r>
      <w:r>
        <w:t xml:space="preserve">commentary, esp. Europe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FY guide reaffirmed</w:t>
      </w:r>
      <w:r>
        <w:t xml:space="preserve"> </w:t>
      </w:r>
      <w:r>
        <w:t xml:space="preserve">(</w:t>
      </w:r>
      <m:oMath>
        <m:r>
          <m:t>4.20</m:t>
        </m:r>
        <m:r>
          <m:rPr>
            <m:sty m:val="p"/>
          </m:rPr>
          <m:t>–</m:t>
        </m:r>
      </m:oMath>
      <w:r>
        <w:t xml:space="preserve">4.24 EPS, ~$2.5B AOP, $1.6–1.65B FCF)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Modernization orders/backlog</w:t>
      </w:r>
      <w:r>
        <w:t xml:space="preserve"> </w:t>
      </w:r>
      <w:r>
        <w:t xml:space="preserve">still ~+30%; repair ~+10%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New Equipment</w:t>
      </w:r>
      <w:r>
        <w:t xml:space="preserve">: China stabilizing, Americas orders → revenue conversion, ~3% margin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Middle East</w:t>
      </w:r>
      <w:r>
        <w:t xml:space="preserve"> </w:t>
      </w:r>
      <w:r>
        <w:t xml:space="preserve">status vs. the "ends in Q2" assumption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Buyback</w:t>
      </w:r>
      <w:r>
        <w:t xml:space="preserve"> </w:t>
      </w:r>
      <w:r>
        <w:t xml:space="preserve">completion / capital-deployment signal at a depressed valuation</w:t>
      </w:r>
    </w:p>
    <w:p>
      <w:pPr>
        <w:pStyle w:val="FirstParagraph"/>
      </w:pPr>
      <w:r>
        <w:rPr>
          <w:b/>
          <w:bCs/>
        </w:rPr>
        <w:t xml:space="preserve">Bottom line:</w:t>
      </w:r>
      <w:r>
        <w:t xml:space="preserve"> </w:t>
      </w:r>
      <w:r>
        <w:t xml:space="preserve">Low bar, cautious positioning, and a stock that's already priced in a rough first half. The report is less about the Q2 headline (guided down) and more about whether management can show the</w:t>
      </w:r>
      <w:r>
        <w:t xml:space="preserve"> </w:t>
      </w:r>
      <w:r>
        <w:rPr>
          <w:i/>
          <w:iCs/>
        </w:rPr>
        <w:t xml:space="preserve">first hard evidence</w:t>
      </w:r>
      <w:r>
        <w:t xml:space="preserve"> </w:t>
      </w:r>
      <w:r>
        <w:t xml:space="preserve">that the Service margin recovery is on schedule. Deliver on the ~24% Service margin and hold the full-year guide, and the setup favors relief; miss on Service again or trim guidance, and the "show me" skepticism deepens.</w:t>
      </w:r>
    </w:p>
    <w:p>
      <w:pPr>
        <w:pStyle w:val="BodyText"/>
      </w:pPr>
      <w:r>
        <w:rPr>
          <w:i/>
          <w:iCs/>
        </w:rPr>
        <w:t xml:space="preserve">Note: figures and management commentary above are drawn from Otis's Q1 2026 earnings release/call (April 22, 2026) and Q2 2025 release (July 23, 2025); market data through July 21, 2026. This is research/analysis, not investment advice.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2026-07-22T00:19:06Z</dcterms:created>
  <dcterms:modified xsi:type="dcterms:W3CDTF">2026-07-22T00:19:06Z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