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a05009674ced4fd32e69b7cd71bcae39577ff11"/>
    <w:p>
      <w:pPr>
        <w:pStyle w:val="Heading1"/>
      </w:pPr>
      <w:r>
        <w:t xml:space="preserve">Otis Worldwide (OTIS) — Q2 2026 Earnings Preview</w:t>
      </w:r>
    </w:p>
    <w:p>
      <w:pPr>
        <w:pStyle w:val="FirstParagraph"/>
      </w:pPr>
      <w:r>
        <w:rPr>
          <w:b/>
          <w:bCs/>
        </w:rPr>
        <w:t xml:space="preserve">Reporting: Wednesday, July 22, 2026, before market open | Earnings call: 8:30am ET</w:t>
      </w:r>
    </w:p>
    <w:bookmarkStart w:id="9" w:name="Xb92bfd69695d715351d24d27242a7512faf103b"/>
    <w:p>
      <w:pPr>
        <w:pStyle w:val="Heading2"/>
      </w:pPr>
      <w:r>
        <w:t xml:space="preserve">Setup: A stock under pressure heading into the print</w:t>
      </w:r>
    </w:p>
    <w:p>
      <w:pPr>
        <w:pStyle w:val="FirstParagraph"/>
      </w:pPr>
      <w:r>
        <w:t xml:space="preserve">Otis shares have been in a steady downtrend for the past year, falling from roughly $100 last July to around $72 today — a decline of nearly 30%. The stock's most recent gap-down came the morning after last year's Q2 2025 report even though that quarter's results were largely in line and management</w:t>
      </w:r>
      <w:r>
        <w:t xml:space="preserve"> </w:t>
      </w:r>
      <w:r>
        <w:rPr>
          <w:b/>
          <w:bCs/>
        </w:rPr>
        <w:t xml:space="preserve">reconfirmed</w:t>
      </w:r>
      <w:r>
        <w:t xml:space="preserve"> </w:t>
      </w:r>
      <w:r>
        <w:t xml:space="preserve">full-year guidance at the time, showing how sensitive the market has become to any hint of margin softness. Shares fell again after the Q4 2025 report in late January (a miss versus Street EPS/revenue estimates), and again around mid-March following a cautious CFO fireside chat at the J.P. Morgan Industrials Conference, before Q1 2026 results confirmed a guidance trim. Heading into tomorrow's print, sentiment is described as</w:t>
      </w:r>
      <w:r>
        <w:t xml:space="preserve"> </w:t>
      </w:r>
      <w:r>
        <w:rPr>
          <w:b/>
          <w:bCs/>
        </w:rPr>
        <w:t xml:space="preserve">neutral-to-cautious</w:t>
      </w:r>
      <w:r>
        <w:t xml:space="preserve">, "due to a lack of meaningful data center exposure, headwinds in certain end markets (especially China), and year-over-year operating margin slide."</w:t>
      </w:r>
    </w:p>
    <w:bookmarkEnd w:id="9"/>
    <w:bookmarkStart w:id="10" w:name="consensus-expectations"/>
    <w:p>
      <w:pPr>
        <w:pStyle w:val="Heading2"/>
      </w:pPr>
      <w:r>
        <w:t xml:space="preserve">Consensus expectations</w:t>
      </w:r>
    </w:p>
    <w:p>
      <w:pPr>
        <w:pStyle w:val="FirstParagraph"/>
      </w:pPr>
      <w:r>
        <w:t xml:space="preserve">Wall Street models a</w:t>
      </w:r>
      <w:r>
        <w:t xml:space="preserve"> </w:t>
      </w:r>
      <w:r>
        <w:rPr>
          <w:b/>
          <w:bCs/>
        </w:rPr>
        <w:t xml:space="preserve">sequential improvement</w:t>
      </w:r>
      <w:r>
        <w:t xml:space="preserve"> </w:t>
      </w:r>
      <w:r>
        <w:t xml:space="preserve">but a</w:t>
      </w:r>
      <w:r>
        <w:t xml:space="preserve"> </w:t>
      </w:r>
      <w:r>
        <w:rPr>
          <w:b/>
          <w:bCs/>
        </w:rPr>
        <w:t xml:space="preserve">year-over-year EPS decline</w:t>
      </w:r>
      <w:r>
        <w:t xml:space="preserve">:</w:t>
      </w:r>
    </w:p>
    <w:p>
      <w:pPr>
        <w:pStyle w:val="Compact"/>
        <w:numPr>
          <w:ilvl w:val="0"/>
          <w:numId w:val="1001"/>
        </w:numPr>
      </w:pPr>
      <w:r>
        <w:rPr>
          <w:b/>
          <w:bCs/>
        </w:rPr>
        <w:t xml:space="preserve">Adjusted EPS</w:t>
      </w:r>
      <w:r>
        <w:t xml:space="preserve">: ~</w:t>
      </w:r>
      <m:oMath>
        <m:r>
          <m:t>1.00</m:t>
        </m:r>
        <m:r>
          <m:rPr>
            <m:sty m:val="p"/>
          </m:rPr>
          <m:t>–</m:t>
        </m:r>
      </m:oMath>
      <w:r>
        <w:t xml:space="preserve">1.01 (range</w:t>
      </w:r>
      <w:r>
        <w:t xml:space="preserve"> </w:t>
      </w:r>
      <m:oMath>
        <m:r>
          <m:t>0.99</m:t>
        </m:r>
        <m:r>
          <m:rPr>
            <m:sty m:val="p"/>
          </m:rPr>
          <m:t>–</m:t>
        </m:r>
      </m:oMath>
      <w:r>
        <w:t xml:space="preserve">1.03), down roughly 4% from $1.05 in Q2 2025</w:t>
      </w:r>
    </w:p>
    <w:p>
      <w:pPr>
        <w:pStyle w:val="Compact"/>
        <w:numPr>
          <w:ilvl w:val="0"/>
          <w:numId w:val="1001"/>
        </w:numPr>
      </w:pPr>
      <w:r>
        <w:rPr>
          <w:b/>
          <w:bCs/>
        </w:rPr>
        <w:t xml:space="preserve">Revenue</w:t>
      </w:r>
      <w:r>
        <w:t xml:space="preserve">: ~$3.75 billion, tightly clustered between</w:t>
      </w:r>
      <w:r>
        <w:t xml:space="preserve"> </w:t>
      </w:r>
      <m:oMath>
        <m:r>
          <m:t>3.73</m:t>
        </m:r>
        <m:r>
          <m:t>B</m:t>
        </m:r>
        <m:r>
          <m:rPr>
            <m:sty m:val="p"/>
          </m:rPr>
          <m:t>–</m:t>
        </m:r>
      </m:oMath>
      <w:r>
        <w:t xml:space="preserve">3.76B</w:t>
      </w:r>
    </w:p>
    <w:p>
      <w:pPr>
        <w:pStyle w:val="Compact"/>
        <w:numPr>
          <w:ilvl w:val="0"/>
          <w:numId w:val="1001"/>
        </w:numPr>
      </w:pPr>
      <w:r>
        <w:t xml:space="preserve">This would represent sequential improvement from Q1 2026's $0.89 EPS and $3.6 billion of sales, consistent with management's own commentary that results should build through the year</w:t>
      </w:r>
    </w:p>
    <w:p>
      <w:pPr>
        <w:pStyle w:val="FirstParagraph"/>
      </w:pPr>
      <w:r>
        <w:t xml:space="preserve">Management itself guided the Street on the shape of Q2: on the Q1 call, CFO Cristina Mendez said total organic sales would accelerate (led by repair and modernization) while</w:t>
      </w:r>
      <w:r>
        <w:t xml:space="preserve"> </w:t>
      </w:r>
      <w:r>
        <w:rPr>
          <w:b/>
          <w:bCs/>
        </w:rPr>
        <w:t xml:space="preserve">adjusted EPS would decline 3% to 5% year-over-year</w:t>
      </w:r>
      <w:r>
        <w:t xml:space="preserve">, driven largely by inflation/tariff-related cost pass-through lags tied to the Middle East conflict and continued service investments.</w:t>
      </w:r>
    </w:p>
    <w:bookmarkEnd w:id="10"/>
    <w:bookmarkStart w:id="11" w:name="X0092d262e3d18e28ca459b4b498e79bb2b73a78"/>
    <w:p>
      <w:pPr>
        <w:pStyle w:val="Heading2"/>
      </w:pPr>
      <w:r>
        <w:t xml:space="preserve">What happened last quarter — and why it matters for Q2</w:t>
      </w:r>
    </w:p>
    <w:p>
      <w:pPr>
        <w:pStyle w:val="FirstParagraph"/>
      </w:pPr>
      <w:r>
        <w:t xml:space="preserve">Q1 2026 was a "beat on top-line, miss on margin" print: net sales rose 6% (organic +1%) and GAAP EPS jumped 43% to $0.87 on easy comparisons, but **adjusted EPS fell 3% to</w:t>
      </w:r>
      <w:r>
        <w:t xml:space="preserve"> </w:t>
      </w:r>
      <m:oMath>
        <m:r>
          <m:t>0.89</m:t>
        </m:r>
        <m:r>
          <m:rPr>
            <m:sty m:val="p"/>
          </m:rPr>
          <m:t>*</m:t>
        </m:r>
        <m:r>
          <m:rPr>
            <m:sty m:val="p"/>
          </m:rPr>
          <m:t>*</m:t>
        </m:r>
        <m:r>
          <m:t>a</m:t>
        </m:r>
        <m:r>
          <m:t>n</m:t>
        </m:r>
        <m:r>
          <m:t>d</m:t>
        </m:r>
        <m:r>
          <m:t>a</m:t>
        </m:r>
        <m:r>
          <m:t>d</m:t>
        </m:r>
        <m:r>
          <m:t>j</m:t>
        </m:r>
        <m:r>
          <m:t>u</m:t>
        </m:r>
        <m:r>
          <m:t>s</m:t>
        </m:r>
        <m:r>
          <m:t>t</m:t>
        </m:r>
        <m:r>
          <m:t>e</m:t>
        </m:r>
        <m:r>
          <m:t>d</m:t>
        </m:r>
        <m:r>
          <m:t>o</m:t>
        </m:r>
        <m:r>
          <m:t>p</m:t>
        </m:r>
        <m:r>
          <m:t>e</m:t>
        </m:r>
        <m:r>
          <m:t>r</m:t>
        </m:r>
        <m:r>
          <m:t>a</m:t>
        </m:r>
        <m:r>
          <m:t>t</m:t>
        </m:r>
        <m:r>
          <m:t>i</m:t>
        </m:r>
        <m:r>
          <m:t>n</m:t>
        </m:r>
        <m:r>
          <m:t>g</m:t>
        </m:r>
        <m:r>
          <m:t>m</m:t>
        </m:r>
        <m:r>
          <m:t>a</m:t>
        </m:r>
        <m:r>
          <m:t>r</m:t>
        </m:r>
        <m:r>
          <m:t>g</m:t>
        </m:r>
        <m:r>
          <m:t>i</m:t>
        </m:r>
        <m:r>
          <m:t>n</m:t>
        </m:r>
        <m:r>
          <m:t>c</m:t>
        </m:r>
        <m:r>
          <m:t>o</m:t>
        </m:r>
        <m:r>
          <m:t>n</m:t>
        </m:r>
        <m:r>
          <m:t>t</m:t>
        </m:r>
        <m:r>
          <m:t>r</m:t>
        </m:r>
        <m:r>
          <m:t>a</m:t>
        </m:r>
        <m:r>
          <m:t>c</m:t>
        </m:r>
        <m:r>
          <m:t>t</m:t>
        </m:r>
        <m:r>
          <m:t>e</m:t>
        </m:r>
        <m:r>
          <m:t>d</m:t>
        </m:r>
        <m:r>
          <m:t>130</m:t>
        </m:r>
        <m:r>
          <m:t>b</m:t>
        </m:r>
        <m:r>
          <m:t>p</m:t>
        </m:r>
        <m:r>
          <m:t>s</m:t>
        </m:r>
        <m:r>
          <m:t>t</m:t>
        </m:r>
        <m:r>
          <m:t>o</m:t>
        </m:r>
        <m:r>
          <m:t>15.4</m:t>
        </m:r>
      </m:oMath>
      <w:r>
        <w:t xml:space="preserve">50 million planned for full-year 2026), (2) unfavorable</w:t>
      </w:r>
      <w:r>
        <w:t xml:space="preserve"> </w:t>
      </w:r>
      <w:r>
        <w:rPr>
          <w:b/>
          <w:bCs/>
        </w:rPr>
        <w:t xml:space="preserve">portfolio mix</w:t>
      </w:r>
      <w:r>
        <w:t xml:space="preserve"> </w:t>
      </w:r>
      <w:r>
        <w:t xml:space="preserve">as maintenance-unit growth skewed toward lower-value markets (maintenance organic growth decelerated to ~2% vs. a 4%-plus historical run rate), and (3)</w:t>
      </w:r>
      <w:r>
        <w:t xml:space="preserve"> </w:t>
      </w:r>
      <w:r>
        <w:rPr>
          <w:b/>
          <w:bCs/>
        </w:rPr>
        <w:t xml:space="preserve">cost/pricing timing lags</w:t>
      </w:r>
      <w:r>
        <w:t xml:space="preserve"> </w:t>
      </w:r>
      <w:r>
        <w:t xml:space="preserve">tied to Middle East-related inflation (fuel, logistics, commodities) that price increases hadn't yet caught up with.</w:t>
      </w:r>
    </w:p>
    <w:p>
      <w:pPr>
        <w:pStyle w:val="BodyText"/>
      </w:pPr>
      <w:r>
        <w:t xml:space="preserve">Critically, management laid out an explicit</w:t>
      </w:r>
      <w:r>
        <w:t xml:space="preserve"> </w:t>
      </w:r>
      <w:r>
        <w:rPr>
          <w:b/>
          <w:bCs/>
        </w:rPr>
        <w:t xml:space="preserve">quarter-by-quarter margin recovery bridge</w:t>
      </w:r>
      <w:r>
        <w:t xml:space="preserve"> </w:t>
      </w:r>
      <w:r>
        <w:t xml:space="preserve">for Service: ~23% in Q1, roughly 24% in Q2 (still down year-over-year), stabilizing around Q3, and returning to</w:t>
      </w:r>
      <w:r>
        <w:t xml:space="preserve"> </w:t>
      </w:r>
      <w:r>
        <w:rPr>
          <w:b/>
          <w:bCs/>
        </w:rPr>
        <w:t xml:space="preserve">year-over-year margin expansion by Q4</w:t>
      </w:r>
      <w:r>
        <w:t xml:space="preserve">, landing the full year in the "high 24s" — a touch below 2025's 25.1%. Q2 results are the first real test of whether that recovery path is on track, or whether mix/cost pressures are proving stickier than guided.</w:t>
      </w:r>
    </w:p>
    <w:bookmarkEnd w:id="11"/>
    <w:bookmarkStart w:id="12" w:name="segment-dynamics-to-watch"/>
    <w:p>
      <w:pPr>
        <w:pStyle w:val="Heading2"/>
      </w:pPr>
      <w:r>
        <w:t xml:space="preserve">Segment dynamics to watch</w:t>
      </w:r>
    </w:p>
    <w:p>
      <w:pPr>
        <w:pStyle w:val="FirstParagraph"/>
      </w:pPr>
      <w:r>
        <w:rPr>
          <w:b/>
          <w:bCs/>
        </w:rPr>
        <w:t xml:space="preserve">Service (~68% of sales):</w:t>
      </w:r>
      <w:r>
        <w:t xml:space="preserve"> </w:t>
      </w:r>
      <w:r>
        <w:t xml:space="preserve">The core profit engine. Watch for:</w:t>
      </w:r>
    </w:p>
    <w:p>
      <w:pPr>
        <w:pStyle w:val="Compact"/>
        <w:numPr>
          <w:ilvl w:val="0"/>
          <w:numId w:val="1002"/>
        </w:numPr>
      </w:pPr>
      <w:r>
        <w:t xml:space="preserve">Maintenance organic growth trend (targeted to reaccelerate to ~3% for the full year, up from ~2% in Q1) and retention rates, which management said had "stabilized" ex-China at Q1</w:t>
      </w:r>
    </w:p>
    <w:p>
      <w:pPr>
        <w:pStyle w:val="Compact"/>
        <w:numPr>
          <w:ilvl w:val="0"/>
          <w:numId w:val="1002"/>
        </w:numPr>
      </w:pPr>
      <w:r>
        <w:t xml:space="preserve">Repair growth, which management called out as running at roughly 10% organically and the highest-margin line of business, with orders up double digits supporting continued strength</w:t>
      </w:r>
    </w:p>
    <w:p>
      <w:pPr>
        <w:pStyle w:val="Compact"/>
        <w:numPr>
          <w:ilvl w:val="0"/>
          <w:numId w:val="1002"/>
        </w:numPr>
      </w:pPr>
      <w:r>
        <w:t xml:space="preserve">Modernization, where backlog was up 32% (30% at constant currency) at Q1 — an unusually strong leading indicator — with China's bond-funded renewal program and North America both contributing</w:t>
      </w:r>
    </w:p>
    <w:p>
      <w:pPr>
        <w:pStyle w:val="Compact"/>
        <w:numPr>
          <w:ilvl w:val="0"/>
          <w:numId w:val="1002"/>
        </w:numPr>
      </w:pPr>
      <w:r>
        <w:t xml:space="preserve">Whether the ~$50M of planned 2026 investment spend and micro-pricing rollout are visibly offsetting the mix/cost drag, or whether margin is still contracting more than the guided ~100+ bps sequential recovery implies</w:t>
      </w:r>
    </w:p>
    <w:p>
      <w:pPr>
        <w:pStyle w:val="FirstParagraph"/>
      </w:pPr>
      <w:r>
        <w:rPr>
          <w:b/>
          <w:bCs/>
        </w:rPr>
        <w:t xml:space="preserve">New Equipment (~32% of sales):</w:t>
      </w:r>
      <w:r>
        <w:t xml:space="preserve"> </w:t>
      </w:r>
      <w:r>
        <w:t xml:space="preserve">Orders inflected positive (+1% at constant currency, +5% ex-China) in Q1 after a rough 2025, with the Americas up more than 20% for a seventh straight quarter and backlog up 3% at constant currency (+11% ex-China). China remains the drag — NE orders there were down low-teens and sales down more than 20% in Q1 — but management believes "the worst of the market decline is behind us" there. NE segment margin was just 3.3% in Q1 and guided to stay around that level for the rest of the year; any upside would likely come from volume recovery in the Americas and tariff-related tailwinds (management flagged a ~$10M favorable swing from Section 122/232 tariff treatment versus original guidance).</w:t>
      </w:r>
    </w:p>
    <w:bookmarkEnd w:id="12"/>
    <w:bookmarkStart w:id="13" w:name="X0470dbe460e339a18daaea6fbc3957ab9822cb4"/>
    <w:p>
      <w:pPr>
        <w:pStyle w:val="Heading2"/>
      </w:pPr>
      <w:r>
        <w:t xml:space="preserve">Full-year guidance — already cut once this year</w:t>
      </w:r>
    </w:p>
    <w:p>
      <w:pPr>
        <w:pStyle w:val="FirstParagraph"/>
      </w:pPr>
      <w:r>
        <w:t xml:space="preserve">At Q1, Otis narrowed and trimmed the top end of its 2026 outlook: net sales of</w:t>
      </w:r>
      <w:r>
        <w:t xml:space="preserve"> </w:t>
      </w:r>
      <m:oMath>
        <m:r>
          <m:t>15.1</m:t>
        </m:r>
        <m:r>
          <m:rPr>
            <m:sty m:val="p"/>
          </m:rPr>
          <m:t>–</m:t>
        </m:r>
      </m:oMath>
      <w:r>
        <w:rPr>
          <w:b/>
          <w:bCs/>
        </w:rPr>
        <w:t xml:space="preserve">15.3 billion</w:t>
      </w:r>
      <w:r>
        <w:t xml:space="preserve">, organic sales up low-to-mid single digits, adjusted operating profit of</w:t>
      </w:r>
      <w:r>
        <w:t xml:space="preserve"> </w:t>
      </w:r>
      <w:r>
        <w:rPr>
          <w:b/>
          <w:bCs/>
        </w:rPr>
        <w:t xml:space="preserve">~</w:t>
      </w:r>
      <m:oMath>
        <m:r>
          <m:t>2.5</m:t>
        </m:r>
        <m:r>
          <m:t>b</m:t>
        </m:r>
        <m:r>
          <m:t>i</m:t>
        </m:r>
        <m:r>
          <m:t>l</m:t>
        </m:r>
        <m:r>
          <m:t>l</m:t>
        </m:r>
        <m:r>
          <m:t>i</m:t>
        </m:r>
        <m:r>
          <m:t>o</m:t>
        </m:r>
        <m:r>
          <m:t>n</m:t>
        </m:r>
        <m:r>
          <m:rPr>
            <m:sty m:val="p"/>
          </m:rPr>
          <m:t>*</m:t>
        </m:r>
        <m:r>
          <m:rPr>
            <m:sty m:val="p"/>
          </m:rPr>
          <m:t>*</m:t>
        </m:r>
        <m:r>
          <m:rPr>
            <m:sty m:val="p"/>
          </m:rPr>
          <m:t>,</m:t>
        </m:r>
        <m:r>
          <m:t>a</m:t>
        </m:r>
        <m:r>
          <m:t>d</m:t>
        </m:r>
        <m:r>
          <m:t>j</m:t>
        </m:r>
        <m:r>
          <m:t>u</m:t>
        </m:r>
        <m:r>
          <m:t>s</m:t>
        </m:r>
        <m:r>
          <m:t>t</m:t>
        </m:r>
        <m:r>
          <m:t>e</m:t>
        </m:r>
        <m:r>
          <m:t>d</m:t>
        </m:r>
        <m:r>
          <m:t>E</m:t>
        </m:r>
        <m:r>
          <m:t>P</m:t>
        </m:r>
        <m:r>
          <m:t>S</m:t>
        </m:r>
        <m:r>
          <m:t>o</m:t>
        </m:r>
        <m:r>
          <m:t>f</m:t>
        </m:r>
        <m:r>
          <m:rPr>
            <m:sty m:val="p"/>
          </m:rPr>
          <m:t>*</m:t>
        </m:r>
        <m:r>
          <m:rPr>
            <m:sty m:val="p"/>
          </m:rPr>
          <m:t>*</m:t>
        </m:r>
      </m:oMath>
      <w:r>
        <w:rPr>
          <w:b/>
          <w:bCs/>
        </w:rPr>
        <w:t xml:space="preserve">4.20–</w:t>
      </w:r>
      <w:r>
        <w:rPr>
          <w:b/>
          <w:bCs/>
        </w:rPr>
        <w:t xml:space="preserve">$4.24** (down from an original "mid-to-high single digit growth" framing given at Q4 results), and adjusted free cash flow of **$</w:t>
      </w:r>
      <w:r>
        <w:rPr>
          <w:b/>
          <w:bCs/>
        </w:rPr>
        <w:t xml:space="preserve">1.60–</w:t>
      </w:r>
      <m:oMath>
        <m:r>
          <m:t>1.65</m:t>
        </m:r>
        <m:r>
          <m:t>b</m:t>
        </m:r>
        <m:r>
          <m:t>i</m:t>
        </m:r>
        <m:r>
          <m:t>l</m:t>
        </m:r>
        <m:r>
          <m:t>l</m:t>
        </m:r>
        <m:r>
          <m:t>i</m:t>
        </m:r>
        <m:r>
          <m:t>o</m:t>
        </m:r>
        <m:r>
          <m:t>n</m:t>
        </m:r>
        <m:r>
          <m:rPr>
            <m:sty m:val="p"/>
          </m:rPr>
          <m:t>*</m:t>
        </m:r>
        <m:r>
          <m:rPr>
            <m:sty m:val="p"/>
          </m:rPr>
          <m:t>*</m:t>
        </m:r>
        <m:r>
          <m:rPr>
            <m:sty m:val="p"/>
          </m:rPr>
          <m:t>.</m:t>
        </m:r>
        <m:r>
          <m:t>I</m:t>
        </m:r>
        <m:r>
          <m:t>n</m:t>
        </m:r>
        <m:r>
          <m:t>v</m:t>
        </m:r>
        <m:r>
          <m:t>e</m:t>
        </m:r>
        <m:r>
          <m:t>s</m:t>
        </m:r>
        <m:r>
          <m:t>t</m:t>
        </m:r>
        <m:r>
          <m:t>o</m:t>
        </m:r>
        <m:r>
          <m:t>r</m:t>
        </m:r>
        <m:r>
          <m:t>s</m:t>
        </m:r>
        <m:r>
          <m:t>w</m:t>
        </m:r>
        <m:r>
          <m:t>i</m:t>
        </m:r>
        <m:r>
          <m:t>l</m:t>
        </m:r>
        <m:r>
          <m:t>l</m:t>
        </m:r>
        <m:r>
          <m:t>w</m:t>
        </m:r>
        <m:r>
          <m:t>a</m:t>
        </m:r>
        <m:r>
          <m:t>n</m:t>
        </m:r>
        <m:r>
          <m:t>t</m:t>
        </m:r>
        <m:r>
          <m:t>c</m:t>
        </m:r>
        <m:r>
          <m:t>o</m:t>
        </m:r>
        <m:r>
          <m:t>n</m:t>
        </m:r>
        <m:r>
          <m:t>f</m:t>
        </m:r>
        <m:r>
          <m:t>i</m:t>
        </m:r>
        <m:r>
          <m:t>r</m:t>
        </m:r>
        <m:r>
          <m:t>m</m:t>
        </m:r>
        <m:r>
          <m:t>a</m:t>
        </m:r>
        <m:r>
          <m:t>t</m:t>
        </m:r>
        <m:r>
          <m:t>i</m:t>
        </m:r>
        <m:r>
          <m:t>o</m:t>
        </m:r>
        <m:r>
          <m:t>n</m:t>
        </m:r>
        <m:r>
          <m:t>t</m:t>
        </m:r>
        <m:r>
          <m:t>h</m:t>
        </m:r>
        <m:r>
          <m:t>a</m:t>
        </m:r>
        <m:r>
          <m:t>t</m:t>
        </m:r>
        <m:r>
          <m:t>Q</m:t>
        </m:r>
        <m:r>
          <m:t>2</m:t>
        </m:r>
        <m:r>
          <m:t>t</m:t>
        </m:r>
        <m:r>
          <m:t>r</m:t>
        </m:r>
        <m:r>
          <m:t>e</m:t>
        </m:r>
        <m:r>
          <m:t>n</m:t>
        </m:r>
        <m:r>
          <m:t>d</m:t>
        </m:r>
        <m:r>
          <m:t>s</m:t>
        </m:r>
        <m:r>
          <m:t>k</m:t>
        </m:r>
        <m:r>
          <m:t>e</m:t>
        </m:r>
        <m:r>
          <m:t>e</m:t>
        </m:r>
        <m:r>
          <m:t>p</m:t>
        </m:r>
        <m:r>
          <m:t>t</m:t>
        </m:r>
        <m:r>
          <m:t>h</m:t>
        </m:r>
        <m:r>
          <m:t>e</m:t>
        </m:r>
        <m:r>
          <m:t>f</m:t>
        </m:r>
        <m:r>
          <m:t>u</m:t>
        </m:r>
        <m:r>
          <m:t>l</m:t>
        </m:r>
        <m:r>
          <m:t>l</m:t>
        </m:r>
        <m:r>
          <m:rPr>
            <m:sty m:val="p"/>
          </m:rPr>
          <m:t>−</m:t>
        </m:r>
        <m:r>
          <m:t>y</m:t>
        </m:r>
        <m:r>
          <m:t>e</m:t>
        </m:r>
        <m:r>
          <m:t>a</m:t>
        </m:r>
        <m:r>
          <m:t>r</m:t>
        </m:r>
        <m:r>
          <m:t>b</m:t>
        </m:r>
        <m:r>
          <m:t>r</m:t>
        </m:r>
        <m:r>
          <m:t>i</m:t>
        </m:r>
        <m:r>
          <m:t>d</m:t>
        </m:r>
        <m:r>
          <m:t>g</m:t>
        </m:r>
        <m:r>
          <m:t>e</m:t>
        </m:r>
        <m:r>
          <m:t>i</m:t>
        </m:r>
        <m:r>
          <m:t>n</m:t>
        </m:r>
        <m:r>
          <m:t>t</m:t>
        </m:r>
        <m:r>
          <m:t>a</m:t>
        </m:r>
        <m:r>
          <m:t>c</m:t>
        </m:r>
        <m:r>
          <m:t>t</m:t>
        </m:r>
        <m:r>
          <m:rPr>
            <m:sty m:val="p"/>
          </m:rPr>
          <m:t>—</m:t>
        </m:r>
        <m:r>
          <m:t>e</m:t>
        </m:r>
        <m:r>
          <m:t>s</m:t>
        </m:r>
        <m:r>
          <m:t>p</m:t>
        </m:r>
        <m:r>
          <m:t>e</m:t>
        </m:r>
        <m:r>
          <m:t>c</m:t>
        </m:r>
        <m:r>
          <m:t>i</m:t>
        </m:r>
        <m:r>
          <m:t>a</m:t>
        </m:r>
        <m:r>
          <m:t>l</m:t>
        </m:r>
        <m:r>
          <m:t>l</m:t>
        </m:r>
        <m:r>
          <m:t>y</m:t>
        </m:r>
        <m:r>
          <m:t>t</m:t>
        </m:r>
        <m:r>
          <m:t>h</m:t>
        </m:r>
        <m:r>
          <m:t>e</m:t>
        </m:r>
        <m:r>
          <m:t>a</m:t>
        </m:r>
        <m:r>
          <m:t>s</m:t>
        </m:r>
        <m:r>
          <m:t>s</m:t>
        </m:r>
        <m:r>
          <m:t>u</m:t>
        </m:r>
        <m:r>
          <m:t>m</m:t>
        </m:r>
        <m:r>
          <m:t>p</m:t>
        </m:r>
        <m:r>
          <m:t>t</m:t>
        </m:r>
        <m:r>
          <m:t>i</m:t>
        </m:r>
        <m:r>
          <m:t>o</m:t>
        </m:r>
        <m:r>
          <m:t>n</m:t>
        </m:r>
        <m:r>
          <m:t>e</m:t>
        </m:r>
        <m:r>
          <m:t>m</m:t>
        </m:r>
        <m:r>
          <m:t>b</m:t>
        </m:r>
        <m:r>
          <m:t>e</m:t>
        </m:r>
        <m:r>
          <m:t>d</m:t>
        </m:r>
        <m:r>
          <m:t>d</m:t>
        </m:r>
        <m:r>
          <m:t>e</m:t>
        </m:r>
        <m:r>
          <m:t>d</m:t>
        </m:r>
        <m:r>
          <m:t>i</m:t>
        </m:r>
        <m:r>
          <m:t>n</m:t>
        </m:r>
        <m:r>
          <m:t>g</m:t>
        </m:r>
        <m:r>
          <m:t>u</m:t>
        </m:r>
        <m:r>
          <m:t>i</m:t>
        </m:r>
        <m:r>
          <m:t>d</m:t>
        </m:r>
        <m:r>
          <m:t>a</m:t>
        </m:r>
        <m:r>
          <m:t>n</m:t>
        </m:r>
        <m:r>
          <m:t>c</m:t>
        </m:r>
        <m:r>
          <m:t>e</m:t>
        </m:r>
        <m:r>
          <m:t>t</m:t>
        </m:r>
        <m:r>
          <m:t>h</m:t>
        </m:r>
        <m:r>
          <m:t>a</m:t>
        </m:r>
        <m:r>
          <m:t>t</m:t>
        </m:r>
        <m:r>
          <m:t>t</m:t>
        </m:r>
        <m:r>
          <m:t>h</m:t>
        </m:r>
        <m:r>
          <m:t>e</m:t>
        </m:r>
        <m:r>
          <m:rPr>
            <m:sty m:val="p"/>
          </m:rPr>
          <m:t>*</m:t>
        </m:r>
        <m:r>
          <m:rPr>
            <m:sty m:val="p"/>
          </m:rPr>
          <m:t>*</m:t>
        </m:r>
        <m:r>
          <m:t>M</m:t>
        </m:r>
        <m:r>
          <m:t>i</m:t>
        </m:r>
        <m:r>
          <m:t>d</m:t>
        </m:r>
        <m:r>
          <m:t>d</m:t>
        </m:r>
        <m:r>
          <m:t>l</m:t>
        </m:r>
        <m:r>
          <m:t>e</m:t>
        </m:r>
        <m:r>
          <m:t>E</m:t>
        </m:r>
        <m:r>
          <m:t>a</m:t>
        </m:r>
        <m:r>
          <m:t>s</m:t>
        </m:r>
        <m:r>
          <m:t>t</m:t>
        </m:r>
        <m:r>
          <m:t>c</m:t>
        </m:r>
        <m:r>
          <m:t>o</m:t>
        </m:r>
        <m:r>
          <m:t>n</m:t>
        </m:r>
        <m:r>
          <m:t>f</m:t>
        </m:r>
        <m:r>
          <m:t>l</m:t>
        </m:r>
        <m:r>
          <m:t>i</m:t>
        </m:r>
        <m:r>
          <m:t>c</m:t>
        </m:r>
        <m:r>
          <m:t>t</m:t>
        </m:r>
        <m:r>
          <m:t>r</m:t>
        </m:r>
        <m:r>
          <m:t>e</m:t>
        </m:r>
        <m:r>
          <m:t>s</m:t>
        </m:r>
        <m:r>
          <m:t>o</m:t>
        </m:r>
        <m:r>
          <m:t>l</m:t>
        </m:r>
        <m:r>
          <m:t>v</m:t>
        </m:r>
        <m:r>
          <m:t>e</m:t>
        </m:r>
        <m:r>
          <m:t>s</m:t>
        </m:r>
        <m:r>
          <m:t>i</m:t>
        </m:r>
        <m:r>
          <m:t>n</m:t>
        </m:r>
        <m:r>
          <m:t>Q</m:t>
        </m:r>
        <m:r>
          <m:t>2</m:t>
        </m:r>
        <m:r>
          <m:rPr>
            <m:sty m:val="p"/>
          </m:rPr>
          <m:t>*</m:t>
        </m:r>
        <m:r>
          <m:rPr>
            <m:sty m:val="p"/>
          </m:rPr>
          <m:t>*</m:t>
        </m:r>
        <m:r>
          <m:rPr>
            <m:sty m:val="p"/>
          </m:rPr>
          <m:t>;</m:t>
        </m:r>
        <m:r>
          <m:t>i</m:t>
        </m:r>
        <m:r>
          <m:t>f</m:t>
        </m:r>
        <m:r>
          <m:t>i</m:t>
        </m:r>
        <m:r>
          <m:t>t</m:t>
        </m:r>
        <m:r>
          <m:t>d</m:t>
        </m:r>
        <m:r>
          <m:t>r</m:t>
        </m:r>
        <m:r>
          <m:t>a</m:t>
        </m:r>
        <m:r>
          <m:t>g</m:t>
        </m:r>
        <m:r>
          <m:t>s</m:t>
        </m:r>
        <m:r>
          <m:t>o</m:t>
        </m:r>
        <m:r>
          <m:t>n</m:t>
        </m:r>
        <m:r>
          <m:rPr>
            <m:sty m:val="p"/>
          </m:rPr>
          <m:t>,</m:t>
        </m:r>
        <m:r>
          <m:t>m</m:t>
        </m:r>
        <m:r>
          <m:t>a</m:t>
        </m:r>
        <m:r>
          <m:t>n</m:t>
        </m:r>
        <m:r>
          <m:t>a</m:t>
        </m:r>
        <m:r>
          <m:t>g</m:t>
        </m:r>
        <m:r>
          <m:t>e</m:t>
        </m:r>
        <m:r>
          <m:t>m</m:t>
        </m:r>
        <m:r>
          <m:t>e</m:t>
        </m:r>
        <m:r>
          <m:t>n</m:t>
        </m:r>
        <m:r>
          <m:t>t</m:t>
        </m:r>
        <m:r>
          <m:t>f</m:t>
        </m:r>
        <m:r>
          <m:t>l</m:t>
        </m:r>
        <m:r>
          <m:t>a</m:t>
        </m:r>
        <m:r>
          <m:t>g</m:t>
        </m:r>
        <m:r>
          <m:t>g</m:t>
        </m:r>
        <m:r>
          <m:t>e</m:t>
        </m:r>
        <m:r>
          <m:t>d</m:t>
        </m:r>
        <m:r>
          <m:t>a</m:t>
        </m:r>
        <m:r>
          <m:rPr>
            <m:sty m:val="p"/>
          </m:rPr>
          <m:t>*</m:t>
        </m:r>
        <m:r>
          <m:rPr>
            <m:sty m:val="p"/>
          </m:rPr>
          <m:t>*</m:t>
        </m:r>
      </m:oMath>
      <w:r>
        <w:rPr>
          <w:b/>
          <w:bCs/>
        </w:rPr>
        <w:t xml:space="preserve">5–10 million per-quarter EBIT headwind</w:t>
      </w:r>
      <w:r>
        <w:t xml:space="preserve"> </w:t>
      </w:r>
      <w:r>
        <w:t xml:space="preserve">in Q3/Q4 from project delays and logistics disruption.</w:t>
      </w:r>
    </w:p>
    <w:bookmarkEnd w:id="13"/>
    <w:bookmarkStart w:id="14" w:name="capital-allocation-and-portfolio-moves"/>
    <w:p>
      <w:pPr>
        <w:pStyle w:val="Heading2"/>
      </w:pPr>
      <w:r>
        <w:t xml:space="preserve">Capital allocation and portfolio moves</w:t>
      </w:r>
    </w:p>
    <w:p>
      <w:pPr>
        <w:pStyle w:val="Compact"/>
        <w:numPr>
          <w:ilvl w:val="0"/>
          <w:numId w:val="1003"/>
        </w:numPr>
      </w:pPr>
      <w:r>
        <w:t xml:space="preserve">Otis raised its quarterly dividend 5% in April (dividend up ~120% since the 2020 spin-off) and is targeting **~</w:t>
      </w:r>
      <m:oMath>
        <m:r>
          <m:t>800</m:t>
        </m:r>
        <m:r>
          <m:t>m</m:t>
        </m:r>
        <m:r>
          <m:t>i</m:t>
        </m:r>
        <m:r>
          <m:t>l</m:t>
        </m:r>
        <m:r>
          <m:t>l</m:t>
        </m:r>
        <m:r>
          <m:t>i</m:t>
        </m:r>
        <m:r>
          <m:t>o</m:t>
        </m:r>
        <m:r>
          <m:t>n</m:t>
        </m:r>
        <m:r>
          <m:rPr>
            <m:sty m:val="p"/>
          </m:rPr>
          <m:t>*</m:t>
        </m:r>
        <m:r>
          <m:rPr>
            <m:sty m:val="p"/>
          </m:rPr>
          <m:t>*</m:t>
        </m:r>
        <m:r>
          <m:t>o</m:t>
        </m:r>
        <m:r>
          <m:t>f</m:t>
        </m:r>
        <m:r>
          <m:t>s</m:t>
        </m:r>
        <m:r>
          <m:t>h</m:t>
        </m:r>
        <m:r>
          <m:t>a</m:t>
        </m:r>
        <m:r>
          <m:t>r</m:t>
        </m:r>
        <m:r>
          <m:t>e</m:t>
        </m:r>
        <m:r>
          <m:t>r</m:t>
        </m:r>
        <m:r>
          <m:t>e</m:t>
        </m:r>
        <m:r>
          <m:t>p</m:t>
        </m:r>
        <m:r>
          <m:t>u</m:t>
        </m:r>
        <m:r>
          <m:t>r</m:t>
        </m:r>
        <m:r>
          <m:t>c</m:t>
        </m:r>
        <m:r>
          <m:t>h</m:t>
        </m:r>
        <m:r>
          <m:t>a</m:t>
        </m:r>
        <m:r>
          <m:t>s</m:t>
        </m:r>
        <m:r>
          <m:t>e</m:t>
        </m:r>
        <m:r>
          <m:t>s</m:t>
        </m:r>
        <m:r>
          <m:t>f</m:t>
        </m:r>
        <m:r>
          <m:t>o</m:t>
        </m:r>
        <m:r>
          <m:t>r</m:t>
        </m:r>
        <m:r>
          <m:t>2026</m:t>
        </m:r>
        <m:r>
          <m:rPr>
            <m:sty m:val="p"/>
          </m:rPr>
          <m:t>,</m:t>
        </m:r>
        <m:r>
          <m:t>f</m:t>
        </m:r>
        <m:r>
          <m:t>r</m:t>
        </m:r>
        <m:r>
          <m:t>o</m:t>
        </m:r>
        <m:r>
          <m:t>n</m:t>
        </m:r>
        <m:r>
          <m:t>t</m:t>
        </m:r>
        <m:r>
          <m:rPr>
            <m:sty m:val="p"/>
          </m:rPr>
          <m:t>−</m:t>
        </m:r>
        <m:r>
          <m:t>l</m:t>
        </m:r>
        <m:r>
          <m:t>o</m:t>
        </m:r>
        <m:r>
          <m:t>a</m:t>
        </m:r>
        <m:r>
          <m:t>d</m:t>
        </m:r>
        <m:r>
          <m:t>e</m:t>
        </m:r>
        <m:r>
          <m:t>d</m:t>
        </m:r>
        <m:r>
          <m:t>i</m:t>
        </m:r>
        <m:r>
          <m:t>n</m:t>
        </m:r>
        <m:r>
          <m:t>H</m:t>
        </m:r>
        <m:r>
          <m:t>1</m:t>
        </m:r>
        <m:r>
          <m:rPr>
            <m:sty m:val="p"/>
          </m:rPr>
          <m:t>(</m:t>
        </m:r>
        <m:r>
          <m:t>a</m:t>
        </m:r>
        <m:r>
          <m:t>l</m:t>
        </m:r>
        <m:r>
          <m:t>r</m:t>
        </m:r>
        <m:r>
          <m:t>e</m:t>
        </m:r>
        <m:r>
          <m:t>a</m:t>
        </m:r>
        <m:r>
          <m:t>d</m:t>
        </m:r>
        <m:r>
          <m:t>y</m:t>
        </m:r>
        <m:r>
          <m:t> </m:t>
        </m:r>
      </m:oMath>
      <w:r>
        <w:t xml:space="preserve">400M executed in Q1)</w:t>
      </w:r>
    </w:p>
    <w:p>
      <w:pPr>
        <w:pStyle w:val="Compact"/>
        <w:numPr>
          <w:ilvl w:val="0"/>
          <w:numId w:val="1003"/>
        </w:numPr>
      </w:pPr>
      <w:r>
        <w:t xml:space="preserve">The company announced a</w:t>
      </w:r>
      <w:r>
        <w:t xml:space="preserve"> </w:t>
      </w:r>
      <w:r>
        <w:rPr>
          <w:b/>
          <w:bCs/>
        </w:rPr>
        <w:t xml:space="preserve">majority investment in WeMaintain</w:t>
      </w:r>
      <w:r>
        <w:t xml:space="preserve">, a digitally native, AI-enabled elevator service platform, positioned as complementary to the Otis ONE IoT ecosystem and a vector for growth in the independent service provider (ISP) market — expect an update on integration progress and strategic rationale</w:t>
      </w:r>
    </w:p>
    <w:p>
      <w:pPr>
        <w:pStyle w:val="Compact"/>
        <w:numPr>
          <w:ilvl w:val="0"/>
          <w:numId w:val="1003"/>
        </w:numPr>
      </w:pPr>
      <w:r>
        <w:t xml:space="preserve">A targeted cost-reduction program in non-frontline functions is expected to deliver up to</w:t>
      </w:r>
      <w:r>
        <w:t xml:space="preserve"> </w:t>
      </w:r>
      <m:oMath>
        <m:r>
          <m:t>20</m:t>
        </m:r>
        <m:r>
          <m:t>m</m:t>
        </m:r>
        <m:r>
          <m:t>i</m:t>
        </m:r>
        <m:r>
          <m:t>l</m:t>
        </m:r>
        <m:r>
          <m:t>l</m:t>
        </m:r>
        <m:r>
          <m:t>i</m:t>
        </m:r>
        <m:r>
          <m:t>o</m:t>
        </m:r>
        <m:r>
          <m:t>n</m:t>
        </m:r>
        <m:r>
          <m:t>o</m:t>
        </m:r>
        <m:r>
          <m:t>f</m:t>
        </m:r>
        <m:r>
          <m:t>r</m:t>
        </m:r>
        <m:r>
          <m:t>u</m:t>
        </m:r>
        <m:r>
          <m:t>n</m:t>
        </m:r>
        <m:r>
          <m:rPr>
            <m:sty m:val="p"/>
          </m:rPr>
          <m:t>−</m:t>
        </m:r>
        <m:r>
          <m:t>r</m:t>
        </m:r>
        <m:r>
          <m:t>a</m:t>
        </m:r>
        <m:r>
          <m:t>t</m:t>
        </m:r>
        <m:r>
          <m:t>e</m:t>
        </m:r>
        <m:r>
          <m:t>s</m:t>
        </m:r>
        <m:r>
          <m:t>a</m:t>
        </m:r>
        <m:r>
          <m:t>v</m:t>
        </m:r>
        <m:r>
          <m:t>i</m:t>
        </m:r>
        <m:r>
          <m:t>n</m:t>
        </m:r>
        <m:r>
          <m:t>g</m:t>
        </m:r>
        <m:r>
          <m:t>s</m:t>
        </m:r>
        <m:r>
          <m:rPr>
            <m:sty m:val="p"/>
          </m:rPr>
          <m:t>,</m:t>
        </m:r>
        <m:r>
          <m:t>w</m:t>
        </m:r>
        <m:r>
          <m:t>i</m:t>
        </m:r>
        <m:r>
          <m:t>t</m:t>
        </m:r>
        <m:r>
          <m:t>h</m:t>
        </m:r>
        <m:r>
          <m:t> </m:t>
        </m:r>
      </m:oMath>
      <w:r>
        <w:t xml:space="preserve">10 million realized in 2026 — watch for confirmation this is tracking</w:t>
      </w:r>
    </w:p>
    <w:bookmarkEnd w:id="14"/>
    <w:bookmarkStart w:id="15" w:name="competitiveindustry-read-through"/>
    <w:p>
      <w:pPr>
        <w:pStyle w:val="Heading2"/>
      </w:pPr>
      <w:r>
        <w:t xml:space="preserve">Competitive/industry read-through</w:t>
      </w:r>
    </w:p>
    <w:p>
      <w:pPr>
        <w:pStyle w:val="FirstParagraph"/>
      </w:pPr>
      <w:r>
        <w:t xml:space="preserve">European peer</w:t>
      </w:r>
      <w:r>
        <w:t xml:space="preserve"> </w:t>
      </w:r>
      <w:r>
        <w:rPr>
          <w:b/>
          <w:bCs/>
        </w:rPr>
        <w:t xml:space="preserve">Schindler</w:t>
      </w:r>
      <w:r>
        <w:t xml:space="preserve"> </w:t>
      </w:r>
      <w:r>
        <w:t xml:space="preserve">reported softer Q2 orders and backlog just ahead of Otis, though it reiterated full-year guidance — a useful cross-check on whether elevator/escalator demand softness (particularly in China and parts of Europe) is industry-wide or Otis-specific.</w:t>
      </w:r>
    </w:p>
    <w:bookmarkEnd w:id="15"/>
    <w:bookmarkStart w:id="16" w:name="key-questions-for-the-call"/>
    <w:p>
      <w:pPr>
        <w:pStyle w:val="Heading2"/>
      </w:pPr>
      <w:r>
        <w:t xml:space="preserve">Key questions for the call</w:t>
      </w:r>
    </w:p>
    <w:p>
      <w:pPr>
        <w:pStyle w:val="Compact"/>
        <w:numPr>
          <w:ilvl w:val="0"/>
          <w:numId w:val="1004"/>
        </w:numPr>
      </w:pPr>
      <w:r>
        <w:t xml:space="preserve">Did Service margin actually reach ~24% in Q2 as guided, and does the sequential recovery path to Q4 expansion still look credible?</w:t>
      </w:r>
    </w:p>
    <w:p>
      <w:pPr>
        <w:pStyle w:val="Compact"/>
        <w:numPr>
          <w:ilvl w:val="0"/>
          <w:numId w:val="1004"/>
        </w:numPr>
      </w:pPr>
      <w:r>
        <w:t xml:space="preserve">Is maintenance portfolio growth reaccelerating toward the 3% full-year target, and is retention (ex-China) continuing to improve?</w:t>
      </w:r>
    </w:p>
    <w:p>
      <w:pPr>
        <w:pStyle w:val="Compact"/>
        <w:numPr>
          <w:ilvl w:val="0"/>
          <w:numId w:val="1004"/>
        </w:numPr>
      </w:pPr>
      <w:r>
        <w:t xml:space="preserve">Is repair growth holding near 10% and modernization backlog converting to revenue as planned?</w:t>
      </w:r>
    </w:p>
    <w:p>
      <w:pPr>
        <w:pStyle w:val="Compact"/>
        <w:numPr>
          <w:ilvl w:val="0"/>
          <w:numId w:val="1004"/>
        </w:numPr>
      </w:pPr>
      <w:r>
        <w:t xml:space="preserve">Any incremental read on the Middle East conflict's operational/financial impact, and China NE stabilization?</w:t>
      </w:r>
    </w:p>
    <w:p>
      <w:pPr>
        <w:pStyle w:val="Compact"/>
        <w:numPr>
          <w:ilvl w:val="0"/>
          <w:numId w:val="1004"/>
        </w:numPr>
      </w:pPr>
      <w:r>
        <w:t xml:space="preserve">Is full-year 2026 guidance (</w:t>
      </w:r>
      <m:oMath>
        <m:r>
          <m:t>4.20</m:t>
        </m:r>
        <m:r>
          <m:rPr>
            <m:sty m:val="p"/>
          </m:rPr>
          <m:t>–</m:t>
        </m:r>
      </m:oMath>
      <w:r>
        <w:t xml:space="preserve">4.24 adjusted EPS) still intact, or is there risk of another trim given the stock's negative reaction to recent prints?</w:t>
      </w:r>
    </w:p>
    <w:p>
      <w:pPr>
        <w:pStyle w:val="Compact"/>
        <w:numPr>
          <w:ilvl w:val="0"/>
          <w:numId w:val="1004"/>
        </w:numPr>
      </w:pPr>
      <w:r>
        <w:t xml:space="preserve">Update on WeMaintain integration and capital deployment pace (buybacks, dividend).</w:t>
      </w:r>
    </w:p>
    <w:p>
      <w:pPr>
        <w:pStyle w:val="FirstParagraph"/>
      </w:pPr>
      <w:r>
        <w:t xml:space="preserve">Given the pattern of the last three quarters — where Otis has repeatedly disappointed on margins even while topline/orders metrics looked fine — the market's bar is arguably centered less on the headline EPS number (which consensus already expects down ~4% y/y) and more on</w:t>
      </w:r>
      <w:r>
        <w:t xml:space="preserve"> </w:t>
      </w:r>
      <w:r>
        <w:rPr>
          <w:b/>
          <w:bCs/>
        </w:rPr>
        <w:t xml:space="preserve">whether management's Service margin recovery trajectory is validated in-quarter</w:t>
      </w:r>
      <w:r>
        <w:t xml:space="preserve">, since that underpins confidence in the back-half acceleration embedded in full-year guidance.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2026-07-22T00:21:35Z</dcterms:created>
  <dcterms:modified xsi:type="dcterms:W3CDTF">2026-07-22T00:21:35Z</dcterms:modified>
</cp:coreProperties>
</file>

<file path=docProps/custom.xml><?xml version="1.0" encoding="utf-8"?>
<Properties xmlns="http://schemas.openxmlformats.org/officeDocument/2006/custom-properties" xmlns:vt="http://schemas.openxmlformats.org/officeDocument/2006/docPropsVTypes"/>
</file>