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tis-earnings-predictions--2026-07-22"/>
    <w:p>
      <w:pPr>
        <w:pStyle w:val="Heading1"/>
      </w:pPr>
      <w:r>
        <w:t xml:space="preserve">OTIS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~$1.01 vs. cons $1.00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~$3.77B vs. cons $3.72B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Service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~24.0% vs. cons 23.9%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~$4.20 vs. cons $4.16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~$15.20B vs. cons $15.14B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Service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~6.5% vs. cons 6.5%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+1.6% (STABILIZE)</w:t>
            </w:r>
          </w:p>
        </w:tc>
        <w:tc>
          <w:tcPr/>
          <w:p>
            <w:pPr>
              <w:pStyle w:val="Compact"/>
            </w:pPr>
            <w:r>
              <w:t xml:space="preserve">Relief from Service margin reaching ~24.0% versus 23.9% consensus and FY2026 EPS guidance of ~$4.20 versus</w:t>
            </w:r>
            <w:r>
              <w:t xml:space="preserve"> </w:t>
            </w:r>
            <m:oMath>
              <m:r>
                <m:t>4.16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d</m:t>
              </m:r>
              <m:r>
                <m:t>a</m:t>
              </m:r>
              <m:r>
                <m:t>y</m:t>
              </m:r>
              <m:r>
                <m:t>o</m:t>
              </m:r>
              <m:r>
                <m:t>n</m:t>
              </m:r>
              <m:r>
                <m:t>e</m:t>
              </m:r>
              <m:r>
                <m:rPr>
                  <m:sty m:val="p"/>
                </m:rPr>
                <m:t>.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H</m:t>
              </m:r>
              <m:r>
                <m:t>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1.90 versus Street's ~</w:t>
            </w:r>
            <m:oMath>
              <m:r>
                <m:t>1.89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h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H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2.30 versus Street's ~$2.27, allowing modest upward revisions; however, dependence on Q4 margin recovery should limit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2026-07-22T00:19:01Z</dcterms:created>
  <dcterms:modified xsi:type="dcterms:W3CDTF">2026-07-22T00:19:01Z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