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otis-2026q2-earnings-preview"/>
    <w:p>
      <w:pPr>
        <w:pStyle w:val="Heading1"/>
      </w:pPr>
      <w:r>
        <w:t xml:space="preserve">OTIS 2026Q2 Earnings Preview</w:t>
      </w:r>
    </w:p>
    <w:p>
      <w:pPr>
        <w:pStyle w:val="BlockText"/>
      </w:pPr>
      <w:r>
        <w:rPr>
          <w:b/>
          <w:bCs/>
        </w:rPr>
        <w:t xml:space="preserve">Timing note:</w:t>
      </w:r>
      <w:r>
        <w:t xml:space="preserve"> </w:t>
      </w:r>
      <w:r>
        <w:t xml:space="preserve">Otis has scheduled its earnings call for</w:t>
      </w:r>
      <w:r>
        <w:t xml:space="preserve"> </w:t>
      </w:r>
      <w:r>
        <w:rPr>
          <w:b/>
          <w:bCs/>
        </w:rPr>
        <w:t xml:space="preserve">Wednesday, July 22, 2026, at 8:30 a.m. ET</w:t>
      </w:r>
      <w:r>
        <w:t xml:space="preserve">, with the release due before the call. Given today’s date is July 22, the event is scheduled for</w:t>
      </w:r>
      <w:r>
        <w:t xml:space="preserve"> </w:t>
      </w:r>
      <w:r>
        <w:rPr>
          <w:b/>
          <w:bCs/>
        </w:rPr>
        <w:t xml:space="preserve">today</w:t>
      </w:r>
      <w:r>
        <w:t xml:space="preserve">, not tomorrow.</w:t>
      </w:r>
    </w:p>
    <w:bookmarkStart w:id="9" w:name="investment-view-going-into-the-report"/>
    <w:p>
      <w:pPr>
        <w:pStyle w:val="Heading2"/>
      </w:pPr>
      <w:r>
        <w:t xml:space="preserve">Investment view going into the report</w:t>
      </w:r>
    </w:p>
    <w:p>
      <w:pPr>
        <w:pStyle w:val="FirstParagraph"/>
      </w:pPr>
      <w:r>
        <w:t xml:space="preserve">The central issue is not whether Otis can produce revenue growth. Its large service portfolio, strong repair demand, and rapidly growing modernization backlog should support an improving top line. The debate is whether that growth can translate into</w:t>
      </w:r>
      <w:r>
        <w:t xml:space="preserve"> </w:t>
      </w:r>
      <w:r>
        <w:rPr>
          <w:b/>
          <w:bCs/>
        </w:rPr>
        <w:t xml:space="preserve">better Service profitability</w:t>
      </w:r>
      <w:r>
        <w:t xml:space="preserve"> </w:t>
      </w:r>
      <w:r>
        <w:t xml:space="preserve">after a disappointing first quarter.</w:t>
      </w:r>
    </w:p>
    <w:p>
      <w:pPr>
        <w:pStyle w:val="BodyText"/>
      </w:pPr>
      <w:r>
        <w:t xml:space="preserve">Management has explicitly promised sequential Service-margin improvement from 23.0% in Q1 to approximately 24% in Q2, followed by stabilization in Q3 and year-over-year expansion in Q4. Consequently, the stock reaction will probably depend more on</w:t>
      </w:r>
      <w:r>
        <w:t xml:space="preserve"> </w:t>
      </w:r>
      <w:r>
        <w:rPr>
          <w:b/>
          <w:bCs/>
        </w:rPr>
        <w:t xml:space="preserve">Service margin, maintenance trends, and second-half guidance credibility</w:t>
      </w:r>
      <w:r>
        <w:t xml:space="preserve"> </w:t>
      </w:r>
      <w:r>
        <w:t xml:space="preserve">than on the headline revenue or EPS result.</w:t>
      </w:r>
    </w:p>
    <w:p>
      <w:pPr>
        <w:pStyle w:val="BodyText"/>
      </w:pPr>
      <w:r>
        <w:t xml:space="preserve">The shares closed at</w:t>
      </w:r>
      <w:r>
        <w:t xml:space="preserve"> </w:t>
      </w:r>
      <w:r>
        <w:rPr>
          <w:b/>
          <w:bCs/>
        </w:rPr>
        <w:t xml:space="preserve">$71.97 on July 21</w:t>
      </w:r>
      <w:r>
        <w:t xml:space="preserve">, approximately 18% below year-end 2025 and 27% below their level a year earlier. At that price, OTIS trades around</w:t>
      </w:r>
      <w:r>
        <w:t xml:space="preserve"> </w:t>
      </w:r>
      <w:r>
        <w:rPr>
          <w:b/>
          <w:bCs/>
        </w:rPr>
        <w:t xml:space="preserve">17.1 times</w:t>
      </w:r>
      <w:r>
        <w:t xml:space="preserve"> </w:t>
      </w:r>
      <w:r>
        <w:t xml:space="preserve">the midpoint of current 2026 adjusted EPS guidance. Expectations have reset materially, but another guidance reduction or failure to demonstrate margin recovery could still pressure the stock.</w:t>
      </w:r>
    </w:p>
    <w:p>
      <w:r>
        <w:pict>
          <v:rect style="width:0;height:1.5pt" o:hralign="center" o:hrstd="t" o:hr="t"/>
        </w:pict>
      </w:r>
    </w:p>
    <w:bookmarkEnd w:id="9"/>
    <w:bookmarkStart w:id="10" w:name="company-implied-q2-framework"/>
    <w:p>
      <w:pPr>
        <w:pStyle w:val="Heading2"/>
      </w:pPr>
      <w:r>
        <w:t xml:space="preserve">Company-implied Q2 framework</w:t>
      </w:r>
    </w:p>
    <w:p>
      <w:pPr>
        <w:pStyle w:val="FirstParagraph"/>
      </w:pPr>
      <w:r>
        <w:t xml:space="preserve">Otis has not provided a precise quarterly forecast, but its Q1 commentary establishes a fairly clear envelope: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setup</w:t>
            </w:r>
          </w:p>
        </w:tc>
      </w:tr>
      <w:tr>
        <w:tc>
          <w:tcPr/>
          <w:p>
            <w:pPr>
              <w:pStyle w:val="Compact"/>
            </w:pPr>
            <w:r>
              <w:rPr>
                <w:b/>
                <w:bCs/>
              </w:rPr>
              <w:t xml:space="preserve">Adjusted EPS</w:t>
            </w:r>
          </w:p>
        </w:tc>
        <w:tc>
          <w:tcPr/>
          <w:p>
            <w:pPr>
              <w:pStyle w:val="Compact"/>
            </w:pPr>
            <w:r>
              <w:t xml:space="preserve">Management guided to a 3%–5% year-over-year decline. Against Q2 2025 adjusted EPS of</w:t>
            </w:r>
            <w:r>
              <w:t xml:space="preserve"> </w:t>
            </w:r>
            <m:oMath>
              <m:r>
                <m:t>1.05</m:t>
              </m:r>
              <m:r>
                <m:rPr>
                  <m:sty m:val="p"/>
                </m:rPr>
                <m:t>,</m:t>
              </m:r>
              <m:r>
                <m:t>t</m:t>
              </m:r>
              <m:r>
                <m:t>h</m:t>
              </m:r>
              <m:r>
                <m:t>a</m:t>
              </m:r>
              <m:r>
                <m:t>t</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1.00–$1.02**.</w:t>
            </w:r>
          </w:p>
        </w:tc>
      </w:tr>
      <w:tr>
        <w:tc>
          <w:tcPr/>
          <w:p>
            <w:pPr>
              <w:pStyle w:val="Compact"/>
            </w:pPr>
            <w:r>
              <w:rPr>
                <w:b/>
                <w:bCs/>
              </w:rPr>
              <w:t xml:space="preserve">Organic sales</w:t>
            </w:r>
          </w:p>
        </w:tc>
        <w:tc>
          <w:tcPr/>
          <w:p>
            <w:pPr>
              <w:pStyle w:val="Compact"/>
            </w:pPr>
            <w:r>
              <w:t xml:space="preserve">Expected to accelerate from Q1’s 1% growth, led by repair and modernization</w:t>
            </w:r>
          </w:p>
        </w:tc>
      </w:tr>
      <w:tr>
        <w:tc>
          <w:tcPr/>
          <w:p>
            <w:pPr>
              <w:pStyle w:val="Compact"/>
            </w:pPr>
            <w:r>
              <w:rPr>
                <w:b/>
                <w:bCs/>
              </w:rPr>
              <w:t xml:space="preserve">Service organic sales</w:t>
            </w:r>
          </w:p>
        </w:tc>
        <w:tc>
          <w:tcPr/>
          <w:p>
            <w:pPr>
              <w:pStyle w:val="Compact"/>
            </w:pPr>
            <w:r>
              <w:t xml:space="preserve">Should accelerate from Q1’s 5%, with repair and modernization the key drivers</w:t>
            </w:r>
          </w:p>
        </w:tc>
      </w:tr>
      <w:tr>
        <w:tc>
          <w:tcPr/>
          <w:p>
            <w:pPr>
              <w:pStyle w:val="Compact"/>
            </w:pPr>
            <w:r>
              <w:rPr>
                <w:b/>
                <w:bCs/>
              </w:rPr>
              <w:t xml:space="preserve">Service margin</w:t>
            </w:r>
          </w:p>
        </w:tc>
        <w:tc>
          <w:tcPr/>
          <w:p>
            <w:pPr>
              <w:pStyle w:val="Compact"/>
            </w:pPr>
            <w:r>
              <w:t xml:space="preserve">Approximately</w:t>
            </w:r>
            <w:r>
              <w:t xml:space="preserve"> </w:t>
            </w:r>
            <w:r>
              <w:rPr>
                <w:b/>
                <w:bCs/>
              </w:rPr>
              <w:t xml:space="preserve">24%</w:t>
            </w:r>
            <w:r>
              <w:t xml:space="preserve">, versus 23.0% in Q1 and 24.9% in Q2 2025</w:t>
            </w:r>
          </w:p>
        </w:tc>
      </w:tr>
      <w:tr>
        <w:tc>
          <w:tcPr/>
          <w:p>
            <w:pPr>
              <w:pStyle w:val="Compact"/>
            </w:pPr>
            <w:r>
              <w:rPr>
                <w:b/>
                <w:bCs/>
              </w:rPr>
              <w:t xml:space="preserve">New Equipment organic sales</w:t>
            </w:r>
          </w:p>
        </w:tc>
        <w:tc>
          <w:tcPr/>
          <w:p>
            <w:pPr>
              <w:pStyle w:val="Compact"/>
            </w:pPr>
            <w:r>
              <w:t xml:space="preserve">Decline should moderate from Q1’s 5% contraction</w:t>
            </w:r>
          </w:p>
        </w:tc>
      </w:tr>
      <w:tr>
        <w:tc>
          <w:tcPr/>
          <w:p>
            <w:pPr>
              <w:pStyle w:val="Compact"/>
            </w:pPr>
            <w:r>
              <w:rPr>
                <w:b/>
                <w:bCs/>
              </w:rPr>
              <w:t xml:space="preserve">New Equipment margin</w:t>
            </w:r>
          </w:p>
        </w:tc>
        <w:tc>
          <w:tcPr/>
          <w:p>
            <w:pPr>
              <w:pStyle w:val="Compact"/>
            </w:pPr>
            <w:r>
              <w:t xml:space="preserve">Approximately</w:t>
            </w:r>
            <w:r>
              <w:t xml:space="preserve"> </w:t>
            </w:r>
            <w:r>
              <w:rPr>
                <w:b/>
                <w:bCs/>
              </w:rPr>
              <w:t xml:space="preserve">3%</w:t>
            </w:r>
            <w:r>
              <w:t xml:space="preserve">, versus 3.3% in Q1 and 5.3% a year ago</w:t>
            </w:r>
          </w:p>
        </w:tc>
      </w:tr>
      <w:tr>
        <w:tc>
          <w:tcPr/>
          <w:p>
            <w:pPr>
              <w:pStyle w:val="Compact"/>
            </w:pPr>
            <w:r>
              <w:rPr>
                <w:b/>
                <w:bCs/>
              </w:rPr>
              <w:t xml:space="preserve">Adjusted operating profit, constant currency</w:t>
            </w:r>
          </w:p>
        </w:tc>
        <w:tc>
          <w:tcPr/>
          <w:p>
            <w:pPr>
              <w:pStyle w:val="Compact"/>
            </w:pPr>
            <w:r>
              <w:t xml:space="preserve">Expected to decline by roughly the same dollar amount as Q1, when it fell $38 million</w:t>
            </w:r>
          </w:p>
        </w:tc>
      </w:tr>
      <w:tr>
        <w:tc>
          <w:tcPr/>
          <w:p>
            <w:pPr>
              <w:pStyle w:val="Compact"/>
            </w:pPr>
            <w:r>
              <w:rPr>
                <w:b/>
                <w:bCs/>
              </w:rPr>
              <w:t xml:space="preserve">Corporate expense</w:t>
            </w:r>
          </w:p>
        </w:tc>
        <w:tc>
          <w:tcPr/>
          <w:p>
            <w:pPr>
              <w:pStyle w:val="Compact"/>
            </w:pPr>
            <w:r>
              <w:t xml:space="preserve">Approximately $50 million per quarter</w:t>
            </w:r>
          </w:p>
        </w:tc>
      </w:tr>
    </w:tbl>
    <w:p>
      <w:pPr>
        <w:pStyle w:val="BodyText"/>
      </w:pPr>
      <w:r>
        <w:t xml:space="preserve">The annual guidance entering the release is:</w:t>
      </w:r>
    </w:p>
    <w:p>
      <w:pPr>
        <w:pStyle w:val="Compact"/>
        <w:numPr>
          <w:ilvl w:val="0"/>
          <w:numId w:val="1001"/>
        </w:numPr>
      </w:pPr>
      <w:r>
        <w:t xml:space="preserve">Revenue of</w:t>
      </w:r>
      <w:r>
        <w:t xml:space="preserve"> </w:t>
      </w:r>
      <m:oMath>
        <m:r>
          <m:t>15.1</m:t>
        </m:r>
        <m:r>
          <m:rPr>
            <m:sty m:val="p"/>
          </m:rPr>
          <m:t>–</m:t>
        </m:r>
      </m:oMath>
      <w:r>
        <w:rPr>
          <w:b/>
          <w:bCs/>
        </w:rPr>
        <w:t xml:space="preserve">15.3 billion</w:t>
      </w:r>
    </w:p>
    <w:p>
      <w:pPr>
        <w:pStyle w:val="Compact"/>
        <w:numPr>
          <w:ilvl w:val="0"/>
          <w:numId w:val="1001"/>
        </w:numPr>
      </w:pPr>
      <w:r>
        <w:t xml:space="preserve">Organic sales growth of</w:t>
      </w:r>
      <w:r>
        <w:t xml:space="preserve"> </w:t>
      </w:r>
      <w:r>
        <w:rPr>
          <w:b/>
          <w:bCs/>
        </w:rPr>
        <w:t xml:space="preserve">low to mid-single digits</w:t>
      </w:r>
    </w:p>
    <w:p>
      <w:pPr>
        <w:pStyle w:val="Compact"/>
        <w:numPr>
          <w:ilvl w:val="0"/>
          <w:numId w:val="1001"/>
        </w:numPr>
      </w:pPr>
      <w:r>
        <w:t xml:space="preserve">Service organic growth of</w:t>
      </w:r>
      <w:r>
        <w:t xml:space="preserve"> </w:t>
      </w:r>
      <w:r>
        <w:rPr>
          <w:b/>
          <w:bCs/>
        </w:rPr>
        <w:t xml:space="preserve">mid- to high-single digits</w:t>
      </w:r>
    </w:p>
    <w:p>
      <w:pPr>
        <w:pStyle w:val="Compact"/>
        <w:numPr>
          <w:ilvl w:val="0"/>
          <w:numId w:val="1001"/>
        </w:numPr>
      </w:pPr>
      <w:r>
        <w:t xml:space="preserve">New Equipment organic sales</w:t>
      </w:r>
      <w:r>
        <w:t xml:space="preserve"> </w:t>
      </w:r>
      <w:r>
        <w:rPr>
          <w:b/>
          <w:bCs/>
        </w:rPr>
        <w:t xml:space="preserve">down low single digits to flat</w:t>
      </w:r>
    </w:p>
    <w:p>
      <w:pPr>
        <w:pStyle w:val="Compact"/>
        <w:numPr>
          <w:ilvl w:val="0"/>
          <w:numId w:val="1001"/>
        </w:numPr>
      </w:pPr>
      <w:r>
        <w:t xml:space="preserve">Adjusted operating profit of approximately</w:t>
      </w:r>
      <w:r>
        <w:t xml:space="preserve"> </w:t>
      </w:r>
      <w:r>
        <w:rPr>
          <w:b/>
          <w:bCs/>
        </w:rPr>
        <w:t xml:space="preserve">$2.5 billion</w:t>
      </w:r>
    </w:p>
    <w:p>
      <w:pPr>
        <w:pStyle w:val="Compact"/>
        <w:numPr>
          <w:ilvl w:val="0"/>
          <w:numId w:val="1001"/>
        </w:numPr>
      </w:pPr>
      <w:r>
        <w:t xml:space="preserve">Adjusted EPS of</w:t>
      </w:r>
      <w:r>
        <w:t xml:space="preserve"> </w:t>
      </w:r>
      <m:oMath>
        <m:r>
          <m:t>4.20</m:t>
        </m:r>
        <m:r>
          <m:rPr>
            <m:sty m:val="p"/>
          </m:rPr>
          <m:t>–</m:t>
        </m:r>
      </m:oMath>
      <w:r>
        <w:rPr>
          <w:b/>
          <w:bCs/>
        </w:rPr>
        <w:t xml:space="preserve">4.24</w:t>
      </w:r>
    </w:p>
    <w:p>
      <w:pPr>
        <w:pStyle w:val="Compact"/>
        <w:numPr>
          <w:ilvl w:val="0"/>
          <w:numId w:val="1001"/>
        </w:numPr>
      </w:pPr>
      <w:r>
        <w:t xml:space="preserve">Adjusted free cash flow of</w:t>
      </w:r>
      <w:r>
        <w:t xml:space="preserve"> </w:t>
      </w:r>
      <m:oMath>
        <m:r>
          <m:t>1.60</m:t>
        </m:r>
        <m:r>
          <m:rPr>
            <m:sty m:val="p"/>
          </m:rPr>
          <m:t>–</m:t>
        </m:r>
      </m:oMath>
      <w:r>
        <w:rPr>
          <w:b/>
          <w:bCs/>
        </w:rPr>
        <w:t xml:space="preserve">1.65 billion</w:t>
      </w:r>
    </w:p>
    <w:p>
      <w:pPr>
        <w:pStyle w:val="FirstParagraph"/>
      </w:pPr>
      <w:r>
        <w:t xml:space="preserve">A result within the quarterly EPS framework may not be enough by itself. Investors will want evidence that the full-year targets do not require an unrealistic fourth-quarter recovery.</w:t>
      </w:r>
    </w:p>
    <w:p>
      <w:r>
        <w:pict>
          <v:rect style="width:0;height:1.5pt" o:hralign="center" o:hrstd="t" o:hr="t"/>
        </w:pict>
      </w:r>
    </w:p>
    <w:bookmarkEnd w:id="10"/>
    <w:bookmarkStart w:id="13" w:name="Xf5fee0d744d1eeb0c7df297961a546729092d8c"/>
    <w:p>
      <w:pPr>
        <w:pStyle w:val="Heading2"/>
      </w:pPr>
      <w:r>
        <w:t xml:space="preserve">1. Service margin is the report’s most important number</w:t>
      </w:r>
    </w:p>
    <w:p>
      <w:pPr>
        <w:pStyle w:val="FirstParagraph"/>
      </w:pPr>
      <w:r>
        <w:t xml:space="preserve">Service represented roughly two-thirds of Q1 sales and is the foundation of the Otis investment case. However, Q1 Service margin contracted 160 basis points to 23.0%, despite 5% organic growth.</w:t>
      </w:r>
    </w:p>
    <w:p>
      <w:pPr>
        <w:pStyle w:val="BodyText"/>
      </w:pPr>
      <w:r>
        <w:t xml:space="preserve">The pressure came from several sources:</w:t>
      </w:r>
    </w:p>
    <w:p>
      <w:pPr>
        <w:pStyle w:val="Compact"/>
        <w:numPr>
          <w:ilvl w:val="0"/>
          <w:numId w:val="1002"/>
        </w:numPr>
      </w:pPr>
      <w:r>
        <w:t xml:space="preserve">Additional field and sales investments</w:t>
      </w:r>
    </w:p>
    <w:p>
      <w:pPr>
        <w:pStyle w:val="Compact"/>
        <w:numPr>
          <w:ilvl w:val="0"/>
          <w:numId w:val="1002"/>
        </w:numPr>
      </w:pPr>
      <w:r>
        <w:t xml:space="preserve">Labor and material inflation</w:t>
      </w:r>
    </w:p>
    <w:p>
      <w:pPr>
        <w:pStyle w:val="Compact"/>
        <w:numPr>
          <w:ilvl w:val="0"/>
          <w:numId w:val="1002"/>
        </w:numPr>
      </w:pPr>
      <w:r>
        <w:t xml:space="preserve">An unfavorable mix toward lower-value maintenance units</w:t>
      </w:r>
    </w:p>
    <w:p>
      <w:pPr>
        <w:pStyle w:val="Compact"/>
        <w:numPr>
          <w:ilvl w:val="0"/>
          <w:numId w:val="1002"/>
        </w:numPr>
      </w:pPr>
      <w:r>
        <w:t xml:space="preserve">Modernization shipment delays</w:t>
      </w:r>
    </w:p>
    <w:p>
      <w:pPr>
        <w:pStyle w:val="Compact"/>
        <w:numPr>
          <w:ilvl w:val="0"/>
          <w:numId w:val="1002"/>
        </w:numPr>
      </w:pPr>
      <w:r>
        <w:t xml:space="preserve">Fuel, logistics, and other Middle East-related costs</w:t>
      </w:r>
    </w:p>
    <w:p>
      <w:pPr>
        <w:pStyle w:val="Compact"/>
        <w:numPr>
          <w:ilvl w:val="0"/>
          <w:numId w:val="1002"/>
        </w:numPr>
      </w:pPr>
      <w:r>
        <w:t xml:space="preserve">Timing between cost inflation and pricing recovery</w:t>
      </w:r>
    </w:p>
    <w:p>
      <w:pPr>
        <w:pStyle w:val="FirstParagraph"/>
      </w:pPr>
      <w:r>
        <w:t xml:space="preserve">Management expects Service margin to recover to approximately 24% in Q2. That would be a meaningful sequential improvement, although still about 90 basis points below last year.</w:t>
      </w:r>
    </w:p>
    <w:bookmarkStart w:id="11" w:name="what-would-constitute-a-good-result"/>
    <w:p>
      <w:pPr>
        <w:pStyle w:val="Heading3"/>
      </w:pPr>
      <w:r>
        <w:t xml:space="preserve">What would constitute a good result?</w:t>
      </w:r>
    </w:p>
    <w:p>
      <w:pPr>
        <w:pStyle w:val="Compact"/>
        <w:numPr>
          <w:ilvl w:val="0"/>
          <w:numId w:val="1003"/>
        </w:numPr>
      </w:pPr>
      <w:r>
        <w:t xml:space="preserve">Service margin around</w:t>
      </w:r>
      <w:r>
        <w:t xml:space="preserve"> </w:t>
      </w:r>
      <w:r>
        <w:rPr>
          <w:b/>
          <w:bCs/>
        </w:rPr>
        <w:t xml:space="preserve">24% or better</w:t>
      </w:r>
    </w:p>
    <w:p>
      <w:pPr>
        <w:pStyle w:val="Compact"/>
        <w:numPr>
          <w:ilvl w:val="0"/>
          <w:numId w:val="1003"/>
        </w:numPr>
      </w:pPr>
      <w:r>
        <w:t xml:space="preserve">A clear bridge showing that pricing and volume—not merely favorable currency—drove the sequential improvement</w:t>
      </w:r>
    </w:p>
    <w:p>
      <w:pPr>
        <w:pStyle w:val="Compact"/>
        <w:numPr>
          <w:ilvl w:val="0"/>
          <w:numId w:val="1003"/>
        </w:numPr>
      </w:pPr>
      <w:r>
        <w:t xml:space="preserve">Confirmation that Q4 can deliver year-over-year margin expansion</w:t>
      </w:r>
    </w:p>
    <w:p>
      <w:pPr>
        <w:pStyle w:val="Compact"/>
        <w:numPr>
          <w:ilvl w:val="0"/>
          <w:numId w:val="1003"/>
        </w:numPr>
      </w:pPr>
      <w:r>
        <w:t xml:space="preserve">No increase to the planned</w:t>
      </w:r>
      <w:r>
        <w:t xml:space="preserve"> </w:t>
      </w:r>
      <w:r>
        <w:rPr>
          <w:b/>
          <w:bCs/>
        </w:rPr>
        <w:t xml:space="preserve">$50 million of incremental 2026 Service investment</w:t>
      </w:r>
    </w:p>
    <w:bookmarkEnd w:id="11"/>
    <w:bookmarkStart w:id="12" w:name="what-would-be-concerning"/>
    <w:p>
      <w:pPr>
        <w:pStyle w:val="Heading3"/>
      </w:pPr>
      <w:r>
        <w:t xml:space="preserve">What would be concerning?</w:t>
      </w:r>
    </w:p>
    <w:p>
      <w:pPr>
        <w:pStyle w:val="Compact"/>
        <w:numPr>
          <w:ilvl w:val="0"/>
          <w:numId w:val="1004"/>
        </w:numPr>
      </w:pPr>
      <w:r>
        <w:t xml:space="preserve">Service margin materially below 24%</w:t>
      </w:r>
    </w:p>
    <w:p>
      <w:pPr>
        <w:pStyle w:val="Compact"/>
        <w:numPr>
          <w:ilvl w:val="0"/>
          <w:numId w:val="1004"/>
        </w:numPr>
      </w:pPr>
      <w:r>
        <w:t xml:space="preserve">Continued adverse maintenance mix</w:t>
      </w:r>
    </w:p>
    <w:p>
      <w:pPr>
        <w:pStyle w:val="Compact"/>
        <w:numPr>
          <w:ilvl w:val="0"/>
          <w:numId w:val="1004"/>
        </w:numPr>
      </w:pPr>
      <w:r>
        <w:t xml:space="preserve">Management pushing the expected margin recovery further into the second half</w:t>
      </w:r>
    </w:p>
    <w:p>
      <w:pPr>
        <w:pStyle w:val="Compact"/>
        <w:numPr>
          <w:ilvl w:val="0"/>
          <w:numId w:val="1004"/>
        </w:numPr>
      </w:pPr>
      <w:r>
        <w:t xml:space="preserve">Higher investment or inflation costs without an offsetting guidance increase for pricing or cost savings</w:t>
      </w:r>
    </w:p>
    <w:p>
      <w:pPr>
        <w:pStyle w:val="FirstParagraph"/>
      </w:pPr>
      <w:r>
        <w:t xml:space="preserve">Because management has been unusually specific about the margin cadence, even a modest miss could have an outsized credibility impact.</w:t>
      </w:r>
    </w:p>
    <w:p>
      <w:r>
        <w:pict>
          <v:rect style="width:0;height:1.5pt" o:hralign="center" o:hrstd="t" o:hr="t"/>
        </w:pict>
      </w:r>
    </w:p>
    <w:bookmarkEnd w:id="12"/>
    <w:bookmarkEnd w:id="13"/>
    <w:bookmarkStart w:id="14" w:name="Xc5ad3f6736da0f4b1a4dc501a46cf030414d1c0"/>
    <w:p>
      <w:pPr>
        <w:pStyle w:val="Heading2"/>
      </w:pPr>
      <w:r>
        <w:t xml:space="preserve">2. Repair and modernization need to convert backlog into profit</w:t>
      </w:r>
    </w:p>
    <w:p>
      <w:pPr>
        <w:pStyle w:val="FirstParagraph"/>
      </w:pPr>
      <w:r>
        <w:t xml:space="preserve">The strongest part of the story is demand for repair and modernization.</w:t>
      </w:r>
    </w:p>
    <w:p>
      <w:pPr>
        <w:pStyle w:val="BodyText"/>
      </w:pPr>
      <w:r>
        <w:t xml:space="preserve">In Q1:</w:t>
      </w:r>
    </w:p>
    <w:p>
      <w:pPr>
        <w:pStyle w:val="Compact"/>
        <w:numPr>
          <w:ilvl w:val="0"/>
          <w:numId w:val="1005"/>
        </w:numPr>
      </w:pPr>
      <w:r>
        <w:t xml:space="preserve">Repair sales rose approximately</w:t>
      </w:r>
      <w:r>
        <w:t xml:space="preserve"> </w:t>
      </w:r>
      <w:r>
        <w:rPr>
          <w:b/>
          <w:bCs/>
        </w:rPr>
        <w:t xml:space="preserve">10% organically</w:t>
      </w:r>
    </w:p>
    <w:p>
      <w:pPr>
        <w:pStyle w:val="Compact"/>
        <w:numPr>
          <w:ilvl w:val="0"/>
          <w:numId w:val="1005"/>
        </w:numPr>
      </w:pPr>
      <w:r>
        <w:t xml:space="preserve">Modernization orders increased</w:t>
      </w:r>
      <w:r>
        <w:t xml:space="preserve"> </w:t>
      </w:r>
      <w:r>
        <w:rPr>
          <w:b/>
          <w:bCs/>
        </w:rPr>
        <w:t xml:space="preserve">11% at constant currency</w:t>
      </w:r>
    </w:p>
    <w:p>
      <w:pPr>
        <w:pStyle w:val="Compact"/>
        <w:numPr>
          <w:ilvl w:val="0"/>
          <w:numId w:val="1005"/>
        </w:numPr>
      </w:pPr>
      <w:r>
        <w:t xml:space="preserve">Modernization backlog grew</w:t>
      </w:r>
      <w:r>
        <w:t xml:space="preserve"> </w:t>
      </w:r>
      <w:r>
        <w:rPr>
          <w:b/>
          <w:bCs/>
        </w:rPr>
        <w:t xml:space="preserve">30% at constant currency</w:t>
      </w:r>
    </w:p>
    <w:p>
      <w:pPr>
        <w:pStyle w:val="Compact"/>
        <w:numPr>
          <w:ilvl w:val="0"/>
          <w:numId w:val="1005"/>
        </w:numPr>
      </w:pPr>
      <w:r>
        <w:t xml:space="preserve">The combined New Equipment and modernization backlog approached</w:t>
      </w:r>
      <w:r>
        <w:t xml:space="preserve"> </w:t>
      </w:r>
      <w:r>
        <w:rPr>
          <w:b/>
          <w:bCs/>
        </w:rPr>
        <w:t xml:space="preserve">$20 billion</w:t>
      </w:r>
    </w:p>
    <w:p>
      <w:pPr>
        <w:pStyle w:val="FirstParagraph"/>
      </w:pPr>
      <w:r>
        <w:t xml:space="preserve">Otis expects repair growth of around 10% per quarter and sees modernization as a durable, multiyear opportunity supported by the aging global installed base. Repair is especially important because management describes it as the company’s highest-margin activity.</w:t>
      </w:r>
    </w:p>
    <w:p>
      <w:pPr>
        <w:pStyle w:val="BodyText"/>
      </w:pPr>
      <w:r>
        <w:t xml:space="preserve">The key Q2 test is therefore</w:t>
      </w:r>
      <w:r>
        <w:t xml:space="preserve"> </w:t>
      </w:r>
      <w:r>
        <w:rPr>
          <w:b/>
          <w:bCs/>
        </w:rPr>
        <w:t xml:space="preserve">execution</w:t>
      </w:r>
      <w:r>
        <w:t xml:space="preserve">. Strong orders and backlog will not reassure investors if project delays, labor availability, or operational issues prevent them from converting into revenue and operating profit.</w:t>
      </w:r>
    </w:p>
    <w:p>
      <w:pPr>
        <w:pStyle w:val="BodyText"/>
      </w:pPr>
      <w:r>
        <w:t xml:space="preserve">Investors should look for:</w:t>
      </w:r>
    </w:p>
    <w:p>
      <w:pPr>
        <w:pStyle w:val="Compact"/>
        <w:numPr>
          <w:ilvl w:val="0"/>
          <w:numId w:val="1006"/>
        </w:numPr>
      </w:pPr>
      <w:r>
        <w:t xml:space="preserve">Repair organic growth near 10%.</w:t>
      </w:r>
    </w:p>
    <w:p>
      <w:pPr>
        <w:pStyle w:val="Compact"/>
        <w:numPr>
          <w:ilvl w:val="0"/>
          <w:numId w:val="1006"/>
        </w:numPr>
      </w:pPr>
      <w:r>
        <w:t xml:space="preserve">Modernization sales accelerating from Q1’s 6%.</w:t>
      </w:r>
    </w:p>
    <w:p>
      <w:pPr>
        <w:pStyle w:val="Compact"/>
        <w:numPr>
          <w:ilvl w:val="0"/>
          <w:numId w:val="1006"/>
        </w:numPr>
      </w:pPr>
      <w:r>
        <w:t xml:space="preserve">Modernization orders remaining at least in the low teens.</w:t>
      </w:r>
    </w:p>
    <w:p>
      <w:pPr>
        <w:pStyle w:val="Compact"/>
        <w:numPr>
          <w:ilvl w:val="0"/>
          <w:numId w:val="1006"/>
        </w:numPr>
      </w:pPr>
      <w:r>
        <w:t xml:space="preserve">Backlog growth staying robust rather than decelerating sharply.</w:t>
      </w:r>
    </w:p>
    <w:p>
      <w:pPr>
        <w:pStyle w:val="Compact"/>
        <w:numPr>
          <w:ilvl w:val="0"/>
          <w:numId w:val="1006"/>
        </w:numPr>
      </w:pPr>
      <w:r>
        <w:t xml:space="preserve">Evidence that prior Middle East-related project delays are recoverable.</w:t>
      </w:r>
    </w:p>
    <w:p>
      <w:pPr>
        <w:pStyle w:val="FirstParagraph"/>
      </w:pPr>
      <w:r>
        <w:t xml:space="preserve">A quarter with strong Service sales but weak margin would suggest that the backlog is converting inefficiently.</w:t>
      </w:r>
    </w:p>
    <w:p>
      <w:r>
        <w:pict>
          <v:rect style="width:0;height:1.5pt" o:hralign="center" o:hrstd="t" o:hr="t"/>
        </w:pict>
      </w:r>
    </w:p>
    <w:bookmarkEnd w:id="14"/>
    <w:bookmarkStart w:id="15" w:name="X4e69131a34f6710e60f142080d8c0f57c5391c3"/>
    <w:p>
      <w:pPr>
        <w:pStyle w:val="Heading2"/>
      </w:pPr>
      <w:r>
        <w:t xml:space="preserve">3. Maintenance quality matters more than unit growth</w:t>
      </w:r>
    </w:p>
    <w:p>
      <w:pPr>
        <w:pStyle w:val="FirstParagraph"/>
      </w:pPr>
      <w:r>
        <w:t xml:space="preserve">Otis has shifted its Service strategy from maximizing unit additions toward maximizing the lifetime value of higher-quality units. Recent portfolio growth has disproportionately come from lower-value markets, pressuring revenue per unit and margins.</w:t>
      </w:r>
    </w:p>
    <w:p>
      <w:pPr>
        <w:pStyle w:val="BodyText"/>
      </w:pPr>
      <w:r>
        <w:t xml:space="preserve">Q1 maintenance sales grew only about 2%, even though the maintenance portfolio expanded 3%. Management expects maintenance organic sales to reach approximately</w:t>
      </w:r>
      <w:r>
        <w:t xml:space="preserve"> </w:t>
      </w:r>
      <w:r>
        <w:rPr>
          <w:b/>
          <w:bCs/>
        </w:rPr>
        <w:t xml:space="preserve">3% for the full year and at the exit rate</w:t>
      </w:r>
      <w:r>
        <w:t xml:space="preserve">, supported by:</w:t>
      </w:r>
    </w:p>
    <w:p>
      <w:pPr>
        <w:pStyle w:val="Compact"/>
        <w:numPr>
          <w:ilvl w:val="0"/>
          <w:numId w:val="1007"/>
        </w:numPr>
      </w:pPr>
      <w:r>
        <w:t xml:space="preserve">Better retention in higher-value markets</w:t>
      </w:r>
    </w:p>
    <w:p>
      <w:pPr>
        <w:pStyle w:val="Compact"/>
        <w:numPr>
          <w:ilvl w:val="0"/>
          <w:numId w:val="1007"/>
        </w:numPr>
      </w:pPr>
      <w:r>
        <w:t xml:space="preserve">Micro-pricing tools</w:t>
      </w:r>
    </w:p>
    <w:p>
      <w:pPr>
        <w:pStyle w:val="Compact"/>
        <w:numPr>
          <w:ilvl w:val="0"/>
          <w:numId w:val="1007"/>
        </w:numPr>
      </w:pPr>
      <w:r>
        <w:t xml:space="preserve">Increased field staffing</w:t>
      </w:r>
    </w:p>
    <w:p>
      <w:pPr>
        <w:pStyle w:val="Compact"/>
        <w:numPr>
          <w:ilvl w:val="0"/>
          <w:numId w:val="1007"/>
        </w:numPr>
      </w:pPr>
      <w:r>
        <w:t xml:space="preserve">Greater Service quality</w:t>
      </w:r>
    </w:p>
    <w:p>
      <w:pPr>
        <w:pStyle w:val="Compact"/>
        <w:numPr>
          <w:ilvl w:val="0"/>
          <w:numId w:val="1007"/>
        </w:numPr>
      </w:pPr>
      <w:r>
        <w:t xml:space="preserve">More selective portfolio additions</w:t>
      </w:r>
    </w:p>
    <w:p>
      <w:pPr>
        <w:pStyle w:val="FirstParagraph"/>
      </w:pPr>
      <w:r>
        <w:t xml:space="preserve">Retention excluding China ended 2025 at 94.5% and had reportedly stabilized by the end of Q1. Commentary on Europe will be particularly important because EMEA contains more than half of the maintenance portfolio and was the principal area where portfolio gains disappointed management.</w:t>
      </w:r>
    </w:p>
    <w:p>
      <w:pPr>
        <w:pStyle w:val="BodyText"/>
      </w:pPr>
      <w:r>
        <w:t xml:space="preserve">A bullish update would include improving retention, maintenance growth moving toward 3%, and less adverse regional mix. Continued 2% maintenance growth with elevated staffing costs would weaken the second-half margin thesis.</w:t>
      </w:r>
    </w:p>
    <w:p>
      <w:r>
        <w:pict>
          <v:rect style="width:0;height:1.5pt" o:hralign="center" o:hrstd="t" o:hr="t"/>
        </w:pict>
      </w:r>
    </w:p>
    <w:bookmarkEnd w:id="15"/>
    <w:bookmarkStart w:id="16" w:name="X0a08aa600c8d93526595af736f622101a842801"/>
    <w:p>
      <w:pPr>
        <w:pStyle w:val="Heading2"/>
      </w:pPr>
      <w:r>
        <w:t xml:space="preserve">4. New Equipment remains a drag, but the rate of decline should improve</w:t>
      </w:r>
    </w:p>
    <w:p>
      <w:pPr>
        <w:pStyle w:val="FirstParagraph"/>
      </w:pPr>
      <w:r>
        <w:t xml:space="preserve">Q1 New Equipment organic sales fell 5%, while operating margin contracted 240 basis points to 3.3%. China sales declined more than 20%, offsetting healthier demand elsewhere.</w:t>
      </w:r>
    </w:p>
    <w:p>
      <w:pPr>
        <w:pStyle w:val="BodyText"/>
      </w:pPr>
      <w:r>
        <w:t xml:space="preserve">Management expects Q2’s organic decline to moderate and full-year New Equipment margin to remain around 3%. The most useful indicators will be regional:</w:t>
      </w:r>
    </w:p>
    <w:p>
      <w:pPr>
        <w:pStyle w:val="Compact"/>
        <w:numPr>
          <w:ilvl w:val="0"/>
          <w:numId w:val="1008"/>
        </w:numPr>
      </w:pPr>
      <w:r>
        <w:rPr>
          <w:b/>
          <w:bCs/>
        </w:rPr>
        <w:t xml:space="preserve">Americas:</w:t>
      </w:r>
      <w:r>
        <w:t xml:space="preserve"> </w:t>
      </w:r>
      <w:r>
        <w:t xml:space="preserve">Orders rose more than 20% in Q1, and management expects full-year sales to return to growth.</w:t>
      </w:r>
    </w:p>
    <w:p>
      <w:pPr>
        <w:pStyle w:val="Compact"/>
        <w:numPr>
          <w:ilvl w:val="0"/>
          <w:numId w:val="1008"/>
        </w:numPr>
      </w:pPr>
      <w:r>
        <w:rPr>
          <w:b/>
          <w:bCs/>
        </w:rPr>
        <w:t xml:space="preserve">EMEA:</w:t>
      </w:r>
      <w:r>
        <w:t xml:space="preserve"> </w:t>
      </w:r>
      <w:r>
        <w:t xml:space="preserve">Demand has been relatively resilient, although Middle East execution remains a risk.</w:t>
      </w:r>
    </w:p>
    <w:p>
      <w:pPr>
        <w:pStyle w:val="Compact"/>
        <w:numPr>
          <w:ilvl w:val="0"/>
          <w:numId w:val="1008"/>
        </w:numPr>
      </w:pPr>
      <w:r>
        <w:rPr>
          <w:b/>
          <w:bCs/>
        </w:rPr>
        <w:t xml:space="preserve">Asia-Pacific:</w:t>
      </w:r>
      <w:r>
        <w:t xml:space="preserve"> </w:t>
      </w:r>
      <w:r>
        <w:t xml:space="preserve">India is healthy, but softness elsewhere has weighed on results.</w:t>
      </w:r>
    </w:p>
    <w:p>
      <w:pPr>
        <w:pStyle w:val="Compact"/>
        <w:numPr>
          <w:ilvl w:val="0"/>
          <w:numId w:val="1008"/>
        </w:numPr>
      </w:pPr>
      <w:r>
        <w:rPr>
          <w:b/>
          <w:bCs/>
        </w:rPr>
        <w:t xml:space="preserve">China:</w:t>
      </w:r>
      <w:r>
        <w:t xml:space="preserve"> </w:t>
      </w:r>
      <w:r>
        <w:t xml:space="preserve">The market remains structurally weak, although management believes the worst of the decline is past.</w:t>
      </w:r>
    </w:p>
    <w:p>
      <w:pPr>
        <w:pStyle w:val="FirstParagraph"/>
      </w:pPr>
      <w:r>
        <w:t xml:space="preserve">A sustained recovery in Americas sales would validate the backlog accumulated since the second half of 2024. Conversely, another broad decline outside China would challenge the claim that the global market is stabilizing.</w:t>
      </w:r>
    </w:p>
    <w:p>
      <w:pPr>
        <w:pStyle w:val="BodyText"/>
      </w:pPr>
      <w:r>
        <w:t xml:space="preserve">New Equipment orders are more important than quarterly revenue for the longer-term outlook. Q1 orders grew 1% at constant currency and 5% excluding China; investors will want those figures to remain positive.</w:t>
      </w:r>
    </w:p>
    <w:p>
      <w:r>
        <w:pict>
          <v:rect style="width:0;height:1.5pt" o:hralign="center" o:hrstd="t" o:hr="t"/>
        </w:pict>
      </w:r>
    </w:p>
    <w:bookmarkEnd w:id="16"/>
    <w:bookmarkStart w:id="19" w:name="Xa8c86d907716e9fb968f697277a3fdbff9db4c8"/>
    <w:p>
      <w:pPr>
        <w:pStyle w:val="Heading2"/>
      </w:pPr>
      <w:r>
        <w:t xml:space="preserve">5. Full-year guidance will determine the stock reaction</w:t>
      </w:r>
    </w:p>
    <w:p>
      <w:pPr>
        <w:pStyle w:val="FirstParagraph"/>
      </w:pPr>
      <w:r>
        <w:t xml:space="preserve">The existing</w:t>
      </w:r>
      <w:r>
        <w:t xml:space="preserve"> </w:t>
      </w:r>
      <m:oMath>
        <m:r>
          <m:t>4.20</m:t>
        </m:r>
        <m:r>
          <m:rPr>
            <m:sty m:val="p"/>
          </m:rPr>
          <m:t>–</m:t>
        </m:r>
      </m:oMath>
      <w:r>
        <w:t xml:space="preserve">4.24 adjusted EPS range assumes a substantial second-half improvement. Management expects:</w:t>
      </w:r>
    </w:p>
    <w:p>
      <w:pPr>
        <w:pStyle w:val="Compact"/>
        <w:numPr>
          <w:ilvl w:val="0"/>
          <w:numId w:val="1009"/>
        </w:numPr>
      </w:pPr>
      <w:r>
        <w:t xml:space="preserve">Approximately 7% Service organic growth in the second half</w:t>
      </w:r>
    </w:p>
    <w:p>
      <w:pPr>
        <w:pStyle w:val="Compact"/>
        <w:numPr>
          <w:ilvl w:val="0"/>
          <w:numId w:val="1009"/>
        </w:numPr>
      </w:pPr>
      <w:r>
        <w:t xml:space="preserve">Pricing to become a significant tailwind</w:t>
      </w:r>
    </w:p>
    <w:p>
      <w:pPr>
        <w:pStyle w:val="Compact"/>
        <w:numPr>
          <w:ilvl w:val="0"/>
          <w:numId w:val="1009"/>
        </w:numPr>
      </w:pPr>
      <w:r>
        <w:t xml:space="preserve">Repair and modernization conversion to accelerate</w:t>
      </w:r>
    </w:p>
    <w:p>
      <w:pPr>
        <w:pStyle w:val="Compact"/>
        <w:numPr>
          <w:ilvl w:val="0"/>
          <w:numId w:val="1009"/>
        </w:numPr>
      </w:pPr>
      <w:r>
        <w:t xml:space="preserve">Maintenance growth to improve</w:t>
      </w:r>
    </w:p>
    <w:p>
      <w:pPr>
        <w:pStyle w:val="Compact"/>
        <w:numPr>
          <w:ilvl w:val="0"/>
          <w:numId w:val="1009"/>
        </w:numPr>
      </w:pPr>
      <w:r>
        <w:t xml:space="preserve">Approximately $10 million of 2026 savings from targeted indirect-cost reductions</w:t>
      </w:r>
    </w:p>
    <w:p>
      <w:pPr>
        <w:pStyle w:val="Compact"/>
        <w:numPr>
          <w:ilvl w:val="0"/>
          <w:numId w:val="1009"/>
        </w:numPr>
      </w:pPr>
      <w:r>
        <w:t xml:space="preserve">Service margin to return to year-over-year expansion in Q4</w:t>
      </w:r>
    </w:p>
    <w:p>
      <w:pPr>
        <w:pStyle w:val="Compact"/>
        <w:numPr>
          <w:ilvl w:val="0"/>
          <w:numId w:val="1009"/>
        </w:numPr>
      </w:pPr>
      <w:r>
        <w:t xml:space="preserve">New Equipment volume to improve, particularly in the Americas</w:t>
      </w:r>
    </w:p>
    <w:p>
      <w:pPr>
        <w:pStyle w:val="FirstParagraph"/>
      </w:pPr>
      <w:r>
        <w:t xml:space="preserve">A simple guidance reaffirmation may be received cautiously if the underlying assumptions become more back-end-loaded. Investors should focus on whether management still expects</w:t>
      </w:r>
      <w:r>
        <w:t xml:space="preserve"> </w:t>
      </w:r>
      <w:r>
        <w:rPr>
          <w:b/>
          <w:bCs/>
        </w:rPr>
        <w:t xml:space="preserve">Q3 stabilization and Q4 Service-margin expansion</w:t>
      </w:r>
      <w:r>
        <w:t xml:space="preserve">.</w:t>
      </w:r>
    </w:p>
    <w:bookmarkStart w:id="17" w:name="positive-guidance-signals"/>
    <w:p>
      <w:pPr>
        <w:pStyle w:val="Heading3"/>
      </w:pPr>
      <w:r>
        <w:t xml:space="preserve">Positive guidance signals</w:t>
      </w:r>
    </w:p>
    <w:p>
      <w:pPr>
        <w:pStyle w:val="Compact"/>
        <w:numPr>
          <w:ilvl w:val="0"/>
          <w:numId w:val="1010"/>
        </w:numPr>
      </w:pPr>
      <w:r>
        <w:t xml:space="preserve">Unchanged EPS and free-cash-flow ranges</w:t>
      </w:r>
    </w:p>
    <w:p>
      <w:pPr>
        <w:pStyle w:val="Compact"/>
        <w:numPr>
          <w:ilvl w:val="0"/>
          <w:numId w:val="1010"/>
        </w:numPr>
      </w:pPr>
      <w:r>
        <w:t xml:space="preserve">Less dependence on Q4 to reach the ranges</w:t>
      </w:r>
    </w:p>
    <w:p>
      <w:pPr>
        <w:pStyle w:val="Compact"/>
        <w:numPr>
          <w:ilvl w:val="0"/>
          <w:numId w:val="1010"/>
        </w:numPr>
      </w:pPr>
      <w:r>
        <w:t xml:space="preserve">Higher confidence in pricing realization</w:t>
      </w:r>
    </w:p>
    <w:p>
      <w:pPr>
        <w:pStyle w:val="Compact"/>
        <w:numPr>
          <w:ilvl w:val="0"/>
          <w:numId w:val="1010"/>
        </w:numPr>
      </w:pPr>
      <w:r>
        <w:t xml:space="preserve">Confirmation that Middle East effects remain manageable</w:t>
      </w:r>
    </w:p>
    <w:p>
      <w:pPr>
        <w:pStyle w:val="Compact"/>
        <w:numPr>
          <w:ilvl w:val="0"/>
          <w:numId w:val="1010"/>
        </w:numPr>
      </w:pPr>
      <w:r>
        <w:t xml:space="preserve">Stronger repair and modernization conversion</w:t>
      </w:r>
    </w:p>
    <w:bookmarkEnd w:id="17"/>
    <w:bookmarkStart w:id="18" w:name="negative-guidance-signals"/>
    <w:p>
      <w:pPr>
        <w:pStyle w:val="Heading3"/>
      </w:pPr>
      <w:r>
        <w:t xml:space="preserve">Negative guidance signals</w:t>
      </w:r>
    </w:p>
    <w:p>
      <w:pPr>
        <w:pStyle w:val="Compact"/>
        <w:numPr>
          <w:ilvl w:val="0"/>
          <w:numId w:val="1011"/>
        </w:numPr>
      </w:pPr>
      <w:r>
        <w:t xml:space="preserve">Lower EPS or operating-profit guidance</w:t>
      </w:r>
    </w:p>
    <w:p>
      <w:pPr>
        <w:pStyle w:val="Compact"/>
        <w:numPr>
          <w:ilvl w:val="0"/>
          <w:numId w:val="1011"/>
        </w:numPr>
      </w:pPr>
      <w:r>
        <w:t xml:space="preserve">Service-margin recovery postponed</w:t>
      </w:r>
    </w:p>
    <w:p>
      <w:pPr>
        <w:pStyle w:val="Compact"/>
        <w:numPr>
          <w:ilvl w:val="0"/>
          <w:numId w:val="1011"/>
        </w:numPr>
      </w:pPr>
      <w:r>
        <w:t xml:space="preserve">Weaker maintenance assumptions</w:t>
      </w:r>
    </w:p>
    <w:p>
      <w:pPr>
        <w:pStyle w:val="Compact"/>
        <w:numPr>
          <w:ilvl w:val="0"/>
          <w:numId w:val="1011"/>
        </w:numPr>
      </w:pPr>
      <w:r>
        <w:t xml:space="preserve">More project delays or inflation</w:t>
      </w:r>
    </w:p>
    <w:p>
      <w:pPr>
        <w:pStyle w:val="Compact"/>
        <w:numPr>
          <w:ilvl w:val="0"/>
          <w:numId w:val="1011"/>
        </w:numPr>
      </w:pPr>
      <w:r>
        <w:t xml:space="preserve">Reduced free-cash-flow expectations</w:t>
      </w:r>
    </w:p>
    <w:p>
      <w:pPr>
        <w:pStyle w:val="FirstParagraph"/>
      </w:pPr>
      <w:r>
        <w:t xml:space="preserve">An increase in reported revenue guidance driven only by foreign currency would be less meaningful than an improvement in organic growth or constant-currency operating profit.</w:t>
      </w:r>
    </w:p>
    <w:p>
      <w:r>
        <w:pict>
          <v:rect style="width:0;height:1.5pt" o:hralign="center" o:hrstd="t" o:hr="t"/>
        </w:pict>
      </w:r>
    </w:p>
    <w:bookmarkEnd w:id="18"/>
    <w:bookmarkEnd w:id="19"/>
    <w:bookmarkStart w:id="20" w:name="cash-flow-and-capital-allocation"/>
    <w:p>
      <w:pPr>
        <w:pStyle w:val="Heading2"/>
      </w:pPr>
      <w:r>
        <w:t xml:space="preserve">Cash flow and capital allocation</w:t>
      </w:r>
    </w:p>
    <w:p>
      <w:pPr>
        <w:pStyle w:val="FirstParagraph"/>
      </w:pPr>
      <w:r>
        <w:t xml:space="preserve">Q1 adjusted free cash flow was $272 million, up from $186 million, but included favorable working-capital timing. Full-year adjusted free-cash-flow guidance of</w:t>
      </w:r>
      <w:r>
        <w:t xml:space="preserve"> </w:t>
      </w:r>
      <m:oMath>
        <m:r>
          <m:t>1.60</m:t>
        </m:r>
        <m:r>
          <m:rPr>
            <m:sty m:val="p"/>
          </m:rPr>
          <m:t>–</m:t>
        </m:r>
      </m:oMath>
      <w:r>
        <w:t xml:space="preserve">1.65 billion implies strong conversion over the remaining quarters.</w:t>
      </w:r>
    </w:p>
    <w:p>
      <w:pPr>
        <w:pStyle w:val="BodyText"/>
      </w:pPr>
      <w:r>
        <w:t xml:space="preserve">Otis repurchased approximately $400 million of shares in Q1 and was targeting $800 million for 2026, front-loaded into the first half. The company subsequently issued $700 million of 4.488% notes due 2029, primarily to refinance approximately €600 million of notes maturing in December 2026.</w:t>
      </w:r>
    </w:p>
    <w:p>
      <w:pPr>
        <w:pStyle w:val="BodyText"/>
      </w:pPr>
      <w:r>
        <w:t xml:space="preserve">Investors should watch:</w:t>
      </w:r>
    </w:p>
    <w:p>
      <w:pPr>
        <w:pStyle w:val="Compact"/>
        <w:numPr>
          <w:ilvl w:val="0"/>
          <w:numId w:val="1012"/>
        </w:numPr>
      </w:pPr>
      <w:r>
        <w:t xml:space="preserve">First-half adjusted free cash flow versus last year’s $429 million</w:t>
      </w:r>
    </w:p>
    <w:p>
      <w:pPr>
        <w:pStyle w:val="Compact"/>
        <w:numPr>
          <w:ilvl w:val="0"/>
          <w:numId w:val="1012"/>
        </w:numPr>
      </w:pPr>
      <w:r>
        <w:t xml:space="preserve">Accounts-receivable and contract-liability movements</w:t>
      </w:r>
    </w:p>
    <w:p>
      <w:pPr>
        <w:pStyle w:val="Compact"/>
        <w:numPr>
          <w:ilvl w:val="0"/>
          <w:numId w:val="1012"/>
        </w:numPr>
      </w:pPr>
      <w:r>
        <w:t xml:space="preserve">Progress toward the $800 million repurchase target</w:t>
      </w:r>
    </w:p>
    <w:p>
      <w:pPr>
        <w:pStyle w:val="Compact"/>
        <w:numPr>
          <w:ilvl w:val="0"/>
          <w:numId w:val="1012"/>
        </w:numPr>
      </w:pPr>
      <w:r>
        <w:t xml:space="preserve">Whether higher interest expense becomes a larger EPS headwind</w:t>
      </w:r>
    </w:p>
    <w:p>
      <w:pPr>
        <w:pStyle w:val="Compact"/>
        <w:numPr>
          <w:ilvl w:val="0"/>
          <w:numId w:val="1012"/>
        </w:numPr>
      </w:pPr>
      <w:r>
        <w:t xml:space="preserve">Capital deployment following the majority investment in WeMaintain</w:t>
      </w:r>
    </w:p>
    <w:p>
      <w:r>
        <w:pict>
          <v:rect style="width:0;height:1.5pt" o:hralign="center" o:hrstd="t" o:hr="t"/>
        </w:pict>
      </w:r>
    </w:p>
    <w:bookmarkEnd w:id="20"/>
    <w:bookmarkStart w:id="24" w:name="scenario-framework"/>
    <w:p>
      <w:pPr>
        <w:pStyle w:val="Heading2"/>
      </w:pPr>
      <w:r>
        <w:t xml:space="preserve">Scenario framework</w:t>
      </w:r>
    </w:p>
    <w:bookmarkStart w:id="21" w:name="bull-case"/>
    <w:p>
      <w:pPr>
        <w:pStyle w:val="Heading3"/>
      </w:pPr>
      <w:r>
        <w:t xml:space="preserve">Bull case</w:t>
      </w:r>
    </w:p>
    <w:p>
      <w:pPr>
        <w:pStyle w:val="Compact"/>
        <w:numPr>
          <w:ilvl w:val="0"/>
          <w:numId w:val="1013"/>
        </w:numPr>
      </w:pPr>
      <w:r>
        <w:t xml:space="preserve">Adjusted EPS at or above the implied</w:t>
      </w:r>
      <w:r>
        <w:t xml:space="preserve"> </w:t>
      </w:r>
      <m:oMath>
        <m:r>
          <m:t>1.00</m:t>
        </m:r>
        <m:r>
          <m:rPr>
            <m:sty m:val="p"/>
          </m:rPr>
          <m:t>–</m:t>
        </m:r>
      </m:oMath>
      <w:r>
        <w:t xml:space="preserve">1.02 range</w:t>
      </w:r>
    </w:p>
    <w:p>
      <w:pPr>
        <w:pStyle w:val="Compact"/>
        <w:numPr>
          <w:ilvl w:val="0"/>
          <w:numId w:val="1013"/>
        </w:numPr>
      </w:pPr>
      <w:r>
        <w:t xml:space="preserve">Service organic growth of roughly 6% or better</w:t>
      </w:r>
    </w:p>
    <w:p>
      <w:pPr>
        <w:pStyle w:val="Compact"/>
        <w:numPr>
          <w:ilvl w:val="0"/>
          <w:numId w:val="1013"/>
        </w:numPr>
      </w:pPr>
      <w:r>
        <w:t xml:space="preserve">Service margin at least 24%</w:t>
      </w:r>
    </w:p>
    <w:p>
      <w:pPr>
        <w:pStyle w:val="Compact"/>
        <w:numPr>
          <w:ilvl w:val="0"/>
          <w:numId w:val="1013"/>
        </w:numPr>
      </w:pPr>
      <w:r>
        <w:t xml:space="preserve">Repair and modernization growth accelerates</w:t>
      </w:r>
    </w:p>
    <w:p>
      <w:pPr>
        <w:pStyle w:val="Compact"/>
        <w:numPr>
          <w:ilvl w:val="0"/>
          <w:numId w:val="1013"/>
        </w:numPr>
      </w:pPr>
      <w:r>
        <w:t xml:space="preserve">Maintenance trends improve</w:t>
      </w:r>
    </w:p>
    <w:p>
      <w:pPr>
        <w:pStyle w:val="Compact"/>
        <w:numPr>
          <w:ilvl w:val="0"/>
          <w:numId w:val="1013"/>
        </w:numPr>
      </w:pPr>
      <w:r>
        <w:t xml:space="preserve">Americas New Equipment sales turn positive</w:t>
      </w:r>
    </w:p>
    <w:p>
      <w:pPr>
        <w:pStyle w:val="Compact"/>
        <w:numPr>
          <w:ilvl w:val="0"/>
          <w:numId w:val="1013"/>
        </w:numPr>
      </w:pPr>
      <w:r>
        <w:t xml:space="preserve">Full-year guidance is reaffirmed with credible Q3/Q4 assumptions</w:t>
      </w:r>
    </w:p>
    <w:p>
      <w:pPr>
        <w:pStyle w:val="FirstParagraph"/>
      </w:pPr>
      <w:r>
        <w:t xml:space="preserve">This would suggest Q1 was the trough in profitability and that the Service investment program is beginning to pay off.</w:t>
      </w:r>
    </w:p>
    <w:bookmarkEnd w:id="21"/>
    <w:bookmarkStart w:id="22" w:name="base-case"/>
    <w:p>
      <w:pPr>
        <w:pStyle w:val="Heading3"/>
      </w:pPr>
      <w:r>
        <w:t xml:space="preserve">Base case</w:t>
      </w:r>
    </w:p>
    <w:p>
      <w:pPr>
        <w:pStyle w:val="Compact"/>
        <w:numPr>
          <w:ilvl w:val="0"/>
          <w:numId w:val="1014"/>
        </w:numPr>
      </w:pPr>
      <w:r>
        <w:t xml:space="preserve">EPS within the implied range</w:t>
      </w:r>
    </w:p>
    <w:p>
      <w:pPr>
        <w:pStyle w:val="Compact"/>
        <w:numPr>
          <w:ilvl w:val="0"/>
          <w:numId w:val="1014"/>
        </w:numPr>
      </w:pPr>
      <w:r>
        <w:t xml:space="preserve">Organic growth accelerates modestly</w:t>
      </w:r>
    </w:p>
    <w:p>
      <w:pPr>
        <w:pStyle w:val="Compact"/>
        <w:numPr>
          <w:ilvl w:val="0"/>
          <w:numId w:val="1014"/>
        </w:numPr>
      </w:pPr>
      <w:r>
        <w:t xml:space="preserve">Service margin reaches approximately 24%</w:t>
      </w:r>
    </w:p>
    <w:p>
      <w:pPr>
        <w:pStyle w:val="Compact"/>
        <w:numPr>
          <w:ilvl w:val="0"/>
          <w:numId w:val="1014"/>
        </w:numPr>
      </w:pPr>
      <w:r>
        <w:t xml:space="preserve">New Equipment remains weak but improves sequentially</w:t>
      </w:r>
    </w:p>
    <w:p>
      <w:pPr>
        <w:pStyle w:val="Compact"/>
        <w:numPr>
          <w:ilvl w:val="0"/>
          <w:numId w:val="1014"/>
        </w:numPr>
      </w:pPr>
      <w:r>
        <w:t xml:space="preserve">Guidance is maintained, with recovery still weighted toward Q4</w:t>
      </w:r>
    </w:p>
    <w:p>
      <w:pPr>
        <w:pStyle w:val="FirstParagraph"/>
      </w:pPr>
      <w:r>
        <w:t xml:space="preserve">This would probably stabilize the thesis but leave investors waiting for Q3 confirmation.</w:t>
      </w:r>
    </w:p>
    <w:bookmarkEnd w:id="22"/>
    <w:bookmarkStart w:id="23" w:name="bear-case"/>
    <w:p>
      <w:pPr>
        <w:pStyle w:val="Heading3"/>
      </w:pPr>
      <w:r>
        <w:t xml:space="preserve">Bear case</w:t>
      </w:r>
    </w:p>
    <w:p>
      <w:pPr>
        <w:pStyle w:val="Compact"/>
        <w:numPr>
          <w:ilvl w:val="0"/>
          <w:numId w:val="1015"/>
        </w:numPr>
      </w:pPr>
      <w:r>
        <w:t xml:space="preserve">EPS below approximately $1.00</w:t>
      </w:r>
    </w:p>
    <w:p>
      <w:pPr>
        <w:pStyle w:val="Compact"/>
        <w:numPr>
          <w:ilvl w:val="0"/>
          <w:numId w:val="1015"/>
        </w:numPr>
      </w:pPr>
      <w:r>
        <w:t xml:space="preserve">Service margin remains near 23%–23.5%</w:t>
      </w:r>
    </w:p>
    <w:p>
      <w:pPr>
        <w:pStyle w:val="Compact"/>
        <w:numPr>
          <w:ilvl w:val="0"/>
          <w:numId w:val="1015"/>
        </w:numPr>
      </w:pPr>
      <w:r>
        <w:t xml:space="preserve">Maintenance growth and retention disappoint</w:t>
      </w:r>
    </w:p>
    <w:p>
      <w:pPr>
        <w:pStyle w:val="Compact"/>
        <w:numPr>
          <w:ilvl w:val="0"/>
          <w:numId w:val="1015"/>
        </w:numPr>
      </w:pPr>
      <w:r>
        <w:t xml:space="preserve">Modernization execution lags backlog growth</w:t>
      </w:r>
    </w:p>
    <w:p>
      <w:pPr>
        <w:pStyle w:val="Compact"/>
        <w:numPr>
          <w:ilvl w:val="0"/>
          <w:numId w:val="1015"/>
        </w:numPr>
      </w:pPr>
      <w:r>
        <w:t xml:space="preserve">China remains weak and Americas revenue recovery is delayed</w:t>
      </w:r>
    </w:p>
    <w:p>
      <w:pPr>
        <w:pStyle w:val="Compact"/>
        <w:numPr>
          <w:ilvl w:val="0"/>
          <w:numId w:val="1015"/>
        </w:numPr>
      </w:pPr>
      <w:r>
        <w:t xml:space="preserve">Management cuts guidance or postpones margin recovery</w:t>
      </w:r>
    </w:p>
    <w:p>
      <w:pPr>
        <w:pStyle w:val="FirstParagraph"/>
      </w:pPr>
      <w:r>
        <w:t xml:space="preserve">That outcome would raise questions about whether the Service pressure is temporary or reflects a more persistent change in mix, labor intensity, and pricing.</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rPr>
          <w:b/>
          <w:bCs/>
        </w:rPr>
        <w:t xml:space="preserve">The hurdle for OTIS is operational credibility, not just an EPS beat.</w:t>
      </w:r>
      <w:r>
        <w:t xml:space="preserve"> </w:t>
      </w:r>
      <w:r>
        <w:t xml:space="preserve">The most important evidence would be Service margin recovering to approximately 24%, repair and modernization converting cleanly, and maintenance trends beginning to improve in higher-value markets.</w:t>
      </w:r>
    </w:p>
    <w:p>
      <w:pPr>
        <w:pStyle w:val="BodyText"/>
      </w:pPr>
      <w:r>
        <w:t xml:space="preserve">The stock’s decline has lowered the valuation and reduced expectations, but the existing annual guidance still requires a pronounced second-half acceleration. A satisfactory quarter should keep that path intact. A strong quarter would make it look conservative. A weak Service-margin result would make the current full-year range—and the broader premium-Service thesis—harder to defend.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2026-07-22T00:19:01Z</dcterms:created>
  <dcterms:modified xsi:type="dcterms:W3CDTF">2026-07-22T00:19:01Z</dcterms:modified>
</cp:coreProperties>
</file>

<file path=docProps/custom.xml><?xml version="1.0" encoding="utf-8"?>
<Properties xmlns="http://schemas.openxmlformats.org/officeDocument/2006/custom-properties" xmlns:vt="http://schemas.openxmlformats.org/officeDocument/2006/docPropsVTypes"/>
</file>