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otis-nyse-otis--2q26-earnings-preview"/>
    <w:p>
      <w:pPr>
        <w:pStyle w:val="Heading1"/>
      </w:pPr>
      <w:r>
        <w:t xml:space="preserve">Otis (NYSE: OTIS)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event date provided,</w:t>
      </w:r>
      <w:r>
        <w:t xml:space="preserve"> </w:t>
      </w:r>
      <w:r>
        <w:rPr>
          <w:b/>
          <w:bCs/>
        </w:rPr>
        <w:t xml:space="preserve">July 22, 2026</w:t>
      </w:r>
      <w:r>
        <w:t xml:space="preserve">,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Otis is scheduled to report</w:t>
      </w:r>
      <w:r>
        <w:t xml:space="preserve"> </w:t>
      </w:r>
      <w:r>
        <w:rPr>
          <w:b/>
          <w:bCs/>
        </w:rPr>
        <w:t xml:space="preserve">before the U.S. market opens</w:t>
      </w:r>
      <w:r>
        <w:t xml:space="preserve">.</w:t>
      </w:r>
    </w:p>
    <w:bookmarkStart w:id="9" w:name="X08de95567770c7a1792bbba38a2eca8998a2a49"/>
    <w:p>
      <w:pPr>
        <w:pStyle w:val="Heading2"/>
      </w:pPr>
      <w:r>
        <w:t xml:space="preserve">Investment view: the report is a margin-execution test, not simply an EPS test</w:t>
      </w:r>
    </w:p>
    <w:p>
      <w:pPr>
        <w:pStyle w:val="FirstParagraph"/>
      </w:pPr>
      <w:r>
        <w:t xml:space="preserve">Otis enters 2Q with a constructive demand backdrop in</w:t>
      </w:r>
      <w:r>
        <w:t xml:space="preserve"> </w:t>
      </w:r>
      <w:r>
        <w:rPr>
          <w:b/>
          <w:bCs/>
        </w:rPr>
        <w:t xml:space="preserve">repair and modernization</w:t>
      </w:r>
      <w:r>
        <w:t xml:space="preserve">, but with investor focus squarely on whether the company is beginning to repair the</w:t>
      </w:r>
      <w:r>
        <w:t xml:space="preserve"> </w:t>
      </w:r>
      <w:r>
        <w:rPr>
          <w:b/>
          <w:bCs/>
        </w:rPr>
        <w:t xml:space="preserve">Service-margin deterioration</w:t>
      </w:r>
      <w:r>
        <w:t xml:space="preserve"> </w:t>
      </w:r>
      <w:r>
        <w:t xml:space="preserve">exposed in 1Q. Management explicitly pre-guided that 2Q adjusted EPS would decline</w:t>
      </w:r>
      <w:r>
        <w:t xml:space="preserve"> </w:t>
      </w:r>
      <w:r>
        <w:rPr>
          <w:b/>
          <w:bCs/>
        </w:rPr>
        <w:t xml:space="preserve">3%–5% year over year</w:t>
      </w:r>
      <w:r>
        <w:t xml:space="preserve">, so an in-line result alone may not be sufficient. The market will be looking for evidence that pricing, backlog conversion, and cost actions support the more meaningful second-half acceleration embedded in full-year guidance.</w:t>
      </w:r>
    </w:p>
    <w:p>
      <w:pPr>
        <w:pStyle w:val="BodyText"/>
      </w:pPr>
      <w:r>
        <w:t xml:space="preserve">The central debate is straightforward: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Modernization backlog, repair demand, micro-pricing, and improving North American new-equipment conversion set up a second-half earnings recovery.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Service investment, unfavorable portfolio mix, labor/material inflation, China weakness, and low New Equipment margins persist longer than management expects—putting the 4Q margin-recovery narrative at risk.</w:t>
      </w:r>
    </w:p>
    <w:p>
      <w:r>
        <w:pict>
          <v:rect style="width:0;height:1.5pt" o:hralign="center" o:hrstd="t" o:hr="t"/>
        </w:pict>
      </w:r>
    </w:p>
    <w:bookmarkEnd w:id="9"/>
    <w:bookmarkStart w:id="10" w:name="X5503df66b750706e47f47cfc006f90c7d333694"/>
    <w:p>
      <w:pPr>
        <w:pStyle w:val="Heading2"/>
      </w:pPr>
      <w:r>
        <w:t xml:space="preserve">What Otis has already told investors to expect</w:t>
      </w:r>
    </w:p>
    <w:p>
      <w:pPr>
        <w:pStyle w:val="FirstParagraph"/>
      </w:pPr>
      <w:r>
        <w:t xml:space="preserve">Management’s 1Q commentary effectively framed a soft 2Q: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setup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Expected to decline</w:t>
            </w:r>
            <w:r>
              <w:t xml:space="preserve"> </w:t>
            </w:r>
            <w:r>
              <w:rPr>
                <w:b/>
                <w:bCs/>
              </w:rPr>
              <w:t xml:space="preserve">3%–5% YoY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Implied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</w:t>
            </w:r>
            <w:r>
              <w:t xml:space="preserve"> </w:t>
            </w:r>
            <m:oMath>
              <m:r>
                <m:t>1.00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1.02</w:t>
            </w:r>
            <w:r>
              <w:t xml:space="preserve">, versus</w:t>
            </w:r>
            <w:r>
              <w:t xml:space="preserve"> </w:t>
            </w:r>
            <w:r>
              <w:rPr>
                <w:b/>
                <w:bCs/>
              </w:rPr>
              <w:t xml:space="preserve">$1.05</w:t>
            </w:r>
            <w:r>
              <w:t xml:space="preserve"> </w:t>
            </w:r>
            <w:r>
              <w:t xml:space="preserve">in 2Q25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Expected to accelerate sequentially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Service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Repair and modernization growth expected to improve sequentially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New Equipment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Organic-sales decline expected to moderate sequentially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Service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Expected to be around</w:t>
            </w:r>
            <w:r>
              <w:t xml:space="preserve"> </w:t>
            </w:r>
            <w:r>
              <w:rPr>
                <w:b/>
                <w:bCs/>
              </w:rPr>
              <w:t xml:space="preserve">24%</w:t>
            </w:r>
            <w:r>
              <w:t xml:space="preserve">, still down YoY but better than 1Q’s 23.0%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New Equipment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indicated approximately</w:t>
            </w:r>
            <w:r>
              <w:t xml:space="preserve"> </w:t>
            </w:r>
            <w:r>
              <w:rPr>
                <w:b/>
                <w:bCs/>
              </w:rPr>
              <w:t xml:space="preserve">3%</w:t>
            </w:r>
            <w:r>
              <w:t xml:space="preserve"> </w:t>
            </w:r>
            <w:r>
              <w:t xml:space="preserve">for the balance of 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Full-year adjusted EPS guide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4.20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4.24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Full-year adjusted FCF guide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1.65B</w:t>
            </w:r>
          </w:p>
        </w:tc>
      </w:tr>
    </w:tbl>
    <w:p>
      <w:pPr>
        <w:pStyle w:val="BodyText"/>
      </w:pPr>
      <w:r>
        <w:t xml:space="preserve">The takeaway:</w:t>
      </w:r>
      <w:r>
        <w:t xml:space="preserve"> </w:t>
      </w:r>
      <w:r>
        <w:rPr>
          <w:b/>
          <w:bCs/>
        </w:rPr>
        <w:t xml:space="preserve">2Q is expected to be another transition quarter.</w:t>
      </w:r>
      <w:r>
        <w:t xml:space="preserve"> </w:t>
      </w:r>
      <w:r>
        <w:t xml:space="preserve">The more consequential question is whether management can reaffirm its confidence that margins and profit growth improve materially in the second half.</w:t>
      </w:r>
    </w:p>
    <w:p>
      <w:r>
        <w:pict>
          <v:rect style="width:0;height:1.5pt" o:hralign="center" o:hrstd="t" o:hr="t"/>
        </w:pict>
      </w:r>
    </w:p>
    <w:bookmarkEnd w:id="10"/>
    <w:bookmarkStart w:id="12" w:name="the-key-swing-factor-service-margins"/>
    <w:p>
      <w:pPr>
        <w:pStyle w:val="Heading2"/>
      </w:pPr>
      <w:r>
        <w:t xml:space="preserve">The key swing factor: Service margins</w:t>
      </w:r>
    </w:p>
    <w:p>
      <w:pPr>
        <w:pStyle w:val="FirstParagraph"/>
      </w:pPr>
      <w:r>
        <w:t xml:space="preserve">Service is Otis’s earnings engine, representing roughly two-thirds of quarterly revenue and essentially all of the company’s segment profit. In 1Q26, Service organic sales grew</w:t>
      </w:r>
      <w:r>
        <w:t xml:space="preserve"> </w:t>
      </w:r>
      <w:r>
        <w:rPr>
          <w:b/>
          <w:bCs/>
        </w:rPr>
        <w:t xml:space="preserve">5%</w:t>
      </w:r>
      <w:r>
        <w:t xml:space="preserve">, but Service margin fell</w:t>
      </w:r>
      <w:r>
        <w:t xml:space="preserve"> </w:t>
      </w:r>
      <w:r>
        <w:rPr>
          <w:b/>
          <w:bCs/>
        </w:rPr>
        <w:t xml:space="preserve">160 bps</w:t>
      </w:r>
      <w:r>
        <w:t xml:space="preserve"> </w:t>
      </w:r>
      <w:r>
        <w:t xml:space="preserve">year over year to</w:t>
      </w:r>
      <w:r>
        <w:t xml:space="preserve"> </w:t>
      </w:r>
      <w:r>
        <w:rPr>
          <w:b/>
          <w:bCs/>
        </w:rPr>
        <w:t xml:space="preserve">23.0%</w:t>
      </w:r>
      <w:r>
        <w:t xml:space="preserve">.</w:t>
      </w:r>
    </w:p>
    <w:p>
      <w:pPr>
        <w:pStyle w:val="BodyText"/>
      </w:pPr>
      <w:r>
        <w:t xml:space="preserve">That deterioration was driven by: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Incremental investments in service capacity and sales capabilities.</w:t>
      </w:r>
      <w:r>
        <w:br/>
      </w:r>
      <w:r>
        <w:t xml:space="preserve">Otis expects roughly</w:t>
      </w:r>
      <w:r>
        <w:t xml:space="preserve"> </w:t>
      </w:r>
      <w:r>
        <w:rPr>
          <w:b/>
          <w:bCs/>
        </w:rPr>
        <w:t xml:space="preserve">$50 million</w:t>
      </w:r>
      <w:r>
        <w:t xml:space="preserve"> </w:t>
      </w:r>
      <w:r>
        <w:t xml:space="preserve">of incremental 2026 investment, including field resources, sales tools, training, and pricing capabilities.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Portfolio mix headwinds.</w:t>
      </w:r>
      <w:r>
        <w:br/>
      </w:r>
      <w:r>
        <w:t xml:space="preserve">Maintenance-unit growth has skewed toward lower-value markets, weighing on revenue per unit and margins. Management highlighted Europe as a key area needing better execution on high-value portfolio retention and growth.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Cost inflation and recovery timing.</w:t>
      </w:r>
      <w:r>
        <w:br/>
      </w:r>
      <w:r>
        <w:t xml:space="preserve">Labor, material, fuel, logistics, and Middle East-related disruption affected 1Q margins. Otis has been implementing surcharges and pricing actions, but the benefit lags the cost increase.</w:t>
      </w:r>
    </w:p>
    <w:bookmarkStart w:id="11" w:name="what-investors-should-watch"/>
    <w:p>
      <w:pPr>
        <w:pStyle w:val="Heading3"/>
      </w:pPr>
      <w:r>
        <w:t xml:space="preserve">What investors should watch</w:t>
      </w:r>
    </w:p>
    <w:p>
      <w:pPr>
        <w:pStyle w:val="FirstParagraph"/>
      </w:pPr>
      <w:r>
        <w:t xml:space="preserve">A Service margin around management’s ~24% expectation would represent a welcome sequential improvement from 1Q, but it would remain below 2Q25’s</w:t>
      </w:r>
      <w:r>
        <w:t xml:space="preserve"> </w:t>
      </w:r>
      <w:r>
        <w:rPr>
          <w:b/>
          <w:bCs/>
        </w:rPr>
        <w:t xml:space="preserve">24.9%</w:t>
      </w:r>
      <w:r>
        <w:t xml:space="preserve">. The more important signals will be:</w:t>
      </w:r>
    </w:p>
    <w:p>
      <w:pPr>
        <w:pStyle w:val="Compact"/>
        <w:numPr>
          <w:ilvl w:val="0"/>
          <w:numId w:val="1003"/>
        </w:numPr>
      </w:pPr>
      <w:r>
        <w:t xml:space="preserve">Confirmation that pricing actions are sticking without hurting retention;</w:t>
      </w:r>
    </w:p>
    <w:p>
      <w:pPr>
        <w:pStyle w:val="Compact"/>
        <w:numPr>
          <w:ilvl w:val="0"/>
          <w:numId w:val="1003"/>
        </w:numPr>
      </w:pPr>
      <w:r>
        <w:t xml:space="preserve">Maintenance-and-repair organic growth moving toward management’s targeted</w:t>
      </w:r>
      <w:r>
        <w:t xml:space="preserve"> </w:t>
      </w:r>
      <w:r>
        <w:rPr>
          <w:b/>
          <w:bCs/>
        </w:rPr>
        <w:t xml:space="preserve">~3% maintenance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~10% repair growth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Modernization revenue conversion from the large backlog;</w:t>
      </w:r>
    </w:p>
    <w:p>
      <w:pPr>
        <w:pStyle w:val="Compact"/>
        <w:numPr>
          <w:ilvl w:val="0"/>
          <w:numId w:val="1003"/>
        </w:numPr>
      </w:pPr>
      <w:r>
        <w:t xml:space="preserve">Confidence that Service margins can return to year-over-year expansion by 4Q.</w:t>
      </w:r>
    </w:p>
    <w:p>
      <w:pPr>
        <w:pStyle w:val="FirstParagraph"/>
      </w:pPr>
      <w:r>
        <w:t xml:space="preserve">A weak margin result, or a less confident second-half margin outlook, is likely the clearest downside catalyst.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X849b00b2ffc02996f585b75254bf89ca7a6a3cc"/>
    <w:p>
      <w:pPr>
        <w:pStyle w:val="Heading2"/>
      </w:pPr>
      <w:r>
        <w:t xml:space="preserve">Demand is healthy where Otis needs it most</w:t>
      </w:r>
    </w:p>
    <w:p>
      <w:pPr>
        <w:pStyle w:val="FirstParagraph"/>
      </w:pPr>
      <w:r>
        <w:t xml:space="preserve">The encouraging feature of the setup is that Otis’s best demand indicators remain tied to the more attractive parts of its Service portfolio: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Modernization orders:</w:t>
      </w:r>
      <w:r>
        <w:t xml:space="preserve"> </w:t>
      </w:r>
      <w:r>
        <w:t xml:space="preserve">up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at constant currency in 1Q.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Modernization backlog:</w:t>
      </w:r>
      <w:r>
        <w:t xml:space="preserve"> </w:t>
      </w:r>
      <w:r>
        <w:t xml:space="preserve">up</w:t>
      </w:r>
      <w:r>
        <w:t xml:space="preserve"> </w:t>
      </w:r>
      <w:r>
        <w:rPr>
          <w:b/>
          <w:bCs/>
        </w:rPr>
        <w:t xml:space="preserve">30%</w:t>
      </w:r>
      <w:r>
        <w:t xml:space="preserve"> </w:t>
      </w:r>
      <w:r>
        <w:t xml:space="preserve">at constant currency.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Repair sales:</w:t>
      </w:r>
      <w:r>
        <w:t xml:space="preserve"> </w:t>
      </w:r>
      <w:r>
        <w:t xml:space="preserve">up approximately</w:t>
      </w:r>
      <w:r>
        <w:t xml:space="preserve"> </w:t>
      </w:r>
      <w:r>
        <w:rPr>
          <w:b/>
          <w:bCs/>
        </w:rPr>
        <w:t xml:space="preserve">10% organically</w:t>
      </w:r>
      <w:r>
        <w:t xml:space="preserve"> </w:t>
      </w:r>
      <w:r>
        <w:t xml:space="preserve">in 1Q.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Total remaining performance obligations: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$19.8 billion</w:t>
      </w:r>
      <w:r>
        <w:t xml:space="preserve"> </w:t>
      </w:r>
      <w:r>
        <w:t xml:space="preserve">at March 31, with about 75% expected to convert to revenue over the next 24 months.</w:t>
      </w:r>
    </w:p>
    <w:p>
      <w:pPr>
        <w:pStyle w:val="FirstParagraph"/>
      </w:pPr>
      <w:r>
        <w:t xml:space="preserve">Modernization is especially important because aging global elevator fleets create a multiyear replacement and upgrade opportunity. Repair is even more attractive economically: management characterizes it as the company’s highest-margin service activity. Otis is also leaning on its connected-unit base and Otis ONE data to drive “proactive” repair work before equipment failures occur.</w:t>
      </w:r>
    </w:p>
    <w:p>
      <w:pPr>
        <w:pStyle w:val="BodyText"/>
      </w:pPr>
      <w:r>
        <w:rPr>
          <w:b/>
          <w:bCs/>
        </w:rPr>
        <w:t xml:space="preserve">Investor implication:</w:t>
      </w:r>
      <w:r>
        <w:t xml:space="preserve"> </w:t>
      </w:r>
      <w:r>
        <w:t xml:space="preserve">Strong orders and backlog provide revenue visibility; the open question is whether execution converts that visibility into margin expansion soon enough.</w:t>
      </w:r>
    </w:p>
    <w:p>
      <w:r>
        <w:pict>
          <v:rect style="width:0;height:1.5pt" o:hralign="center" o:hrstd="t" o:hr="t"/>
        </w:pict>
      </w:r>
    </w:p>
    <w:bookmarkEnd w:id="13"/>
    <w:bookmarkStart w:id="15" w:name="new-equipment-remains-the-weak-link"/>
    <w:p>
      <w:pPr>
        <w:pStyle w:val="Heading2"/>
      </w:pPr>
      <w:r>
        <w:t xml:space="preserve">New Equipment remains the weak link</w:t>
      </w:r>
    </w:p>
    <w:p>
      <w:pPr>
        <w:pStyle w:val="FirstParagraph"/>
      </w:pPr>
      <w:r>
        <w:t xml:space="preserve">New Equipment is likely to remain a drag on the quarter. In 1Q26:</w:t>
      </w:r>
    </w:p>
    <w:p>
      <w:pPr>
        <w:pStyle w:val="Compact"/>
        <w:numPr>
          <w:ilvl w:val="0"/>
          <w:numId w:val="1005"/>
        </w:numPr>
      </w:pPr>
      <w:r>
        <w:t xml:space="preserve">Organic New Equipment sales declined</w:t>
      </w:r>
      <w:r>
        <w:t xml:space="preserve"> </w:t>
      </w:r>
      <w:r>
        <w:rPr>
          <w:b/>
          <w:bCs/>
        </w:rPr>
        <w:t xml:space="preserve">5%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China sales fell by more than</w:t>
      </w:r>
      <w:r>
        <w:t xml:space="preserve"> </w:t>
      </w:r>
      <w:r>
        <w:rPr>
          <w:b/>
          <w:bCs/>
        </w:rPr>
        <w:t xml:space="preserve">20%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New Equipment operating margin dropped</w:t>
      </w:r>
      <w:r>
        <w:t xml:space="preserve"> </w:t>
      </w:r>
      <w:r>
        <w:rPr>
          <w:b/>
          <w:bCs/>
        </w:rPr>
        <w:t xml:space="preserve">240 bps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3.3%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Segment operating profit declined</w:t>
      </w:r>
      <w:r>
        <w:t xml:space="preserve"> </w:t>
      </w:r>
      <w:r>
        <w:rPr>
          <w:b/>
          <w:bCs/>
        </w:rPr>
        <w:t xml:space="preserve">$27 million</w:t>
      </w:r>
      <w:r>
        <w:t xml:space="preserve"> </w:t>
      </w:r>
      <w:r>
        <w:t xml:space="preserve">at constant currency.</w:t>
      </w:r>
    </w:p>
    <w:p>
      <w:pPr>
        <w:pStyle w:val="FirstParagraph"/>
      </w:pPr>
      <w:r>
        <w:t xml:space="preserve">There are offsets:</w:t>
      </w:r>
    </w:p>
    <w:p>
      <w:pPr>
        <w:pStyle w:val="Compact"/>
        <w:numPr>
          <w:ilvl w:val="0"/>
          <w:numId w:val="1006"/>
        </w:numPr>
      </w:pPr>
      <w:r>
        <w:t xml:space="preserve">Americas orders rose more than</w:t>
      </w:r>
      <w:r>
        <w:t xml:space="preserve"> </w:t>
      </w:r>
      <w:r>
        <w:rPr>
          <w:b/>
          <w:bCs/>
        </w:rPr>
        <w:t xml:space="preserve">20%</w:t>
      </w:r>
      <w:r>
        <w:t xml:space="preserve"> </w:t>
      </w:r>
      <w:r>
        <w:t xml:space="preserve">for the seventh consecutive quarter;</w:t>
      </w:r>
    </w:p>
    <w:p>
      <w:pPr>
        <w:pStyle w:val="Compact"/>
        <w:numPr>
          <w:ilvl w:val="0"/>
          <w:numId w:val="1006"/>
        </w:numPr>
      </w:pPr>
      <w:r>
        <w:t xml:space="preserve">New Equipment orders were up</w:t>
      </w:r>
      <w:r>
        <w:t xml:space="preserve"> </w:t>
      </w:r>
      <w:r>
        <w:rPr>
          <w:b/>
          <w:bCs/>
        </w:rPr>
        <w:t xml:space="preserve">1%</w:t>
      </w:r>
      <w:r>
        <w:t xml:space="preserve"> </w:t>
      </w:r>
      <w:r>
        <w:t xml:space="preserve">overall and up</w:t>
      </w:r>
      <w:r>
        <w:t xml:space="preserve"> </w:t>
      </w:r>
      <w:r>
        <w:rPr>
          <w:b/>
          <w:bCs/>
        </w:rPr>
        <w:t xml:space="preserve">5% excluding China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Backlog was up</w:t>
      </w:r>
      <w:r>
        <w:t xml:space="preserve"> </w:t>
      </w:r>
      <w:r>
        <w:rPr>
          <w:b/>
          <w:bCs/>
        </w:rPr>
        <w:t xml:space="preserve">3%</w:t>
      </w:r>
      <w:r>
        <w:t xml:space="preserve"> </w:t>
      </w:r>
      <w:r>
        <w:t xml:space="preserve">at constant currency, or</w:t>
      </w:r>
      <w:r>
        <w:t xml:space="preserve"> </w:t>
      </w:r>
      <w:r>
        <w:rPr>
          <w:b/>
          <w:bCs/>
        </w:rPr>
        <w:t xml:space="preserve">11% excluding China</w:t>
      </w:r>
      <w:r>
        <w:t xml:space="preserve">.</w:t>
      </w:r>
    </w:p>
    <w:p>
      <w:pPr>
        <w:pStyle w:val="FirstParagraph"/>
      </w:pPr>
      <w:r>
        <w:t xml:space="preserve">Still, management has indicated New Equipment margins should stay near</w:t>
      </w:r>
      <w:r>
        <w:t xml:space="preserve"> </w:t>
      </w:r>
      <w:r>
        <w:rPr>
          <w:b/>
          <w:bCs/>
        </w:rPr>
        <w:t xml:space="preserve">3%</w:t>
      </w:r>
      <w:r>
        <w:t xml:space="preserve"> </w:t>
      </w:r>
      <w:r>
        <w:t xml:space="preserve">through 2026. That is a low bar relative to historical profitability and means the segment is unlikely to supply much earnings upside near term.</w:t>
      </w:r>
    </w:p>
    <w:bookmarkStart w:id="14" w:name="areas-to-monitor"/>
    <w:p>
      <w:pPr>
        <w:pStyle w:val="Heading3"/>
      </w:pPr>
      <w:r>
        <w:t xml:space="preserve">Areas to monitor</w:t>
      </w:r>
    </w:p>
    <w:p>
      <w:pPr>
        <w:pStyle w:val="Compact"/>
        <w:numPr>
          <w:ilvl w:val="0"/>
          <w:numId w:val="1007"/>
        </w:numPr>
      </w:pPr>
      <w:r>
        <w:t xml:space="preserve">Whether Americas revenue turns positive as strong orders convert;</w:t>
      </w:r>
    </w:p>
    <w:p>
      <w:pPr>
        <w:pStyle w:val="Compact"/>
        <w:numPr>
          <w:ilvl w:val="0"/>
          <w:numId w:val="1007"/>
        </w:numPr>
      </w:pPr>
      <w:r>
        <w:t xml:space="preserve">China order, backlog, and price trends;</w:t>
      </w:r>
    </w:p>
    <w:p>
      <w:pPr>
        <w:pStyle w:val="Compact"/>
        <w:numPr>
          <w:ilvl w:val="0"/>
          <w:numId w:val="1007"/>
        </w:numPr>
      </w:pPr>
      <w:r>
        <w:t xml:space="preserve">The degree to which data-center, healthcare, infrastructure, and residential demand helps offset softer commercial or China-related markets;</w:t>
      </w:r>
    </w:p>
    <w:p>
      <w:pPr>
        <w:pStyle w:val="Compact"/>
        <w:numPr>
          <w:ilvl w:val="0"/>
          <w:numId w:val="1007"/>
        </w:numPr>
      </w:pPr>
      <w:r>
        <w:t xml:space="preserve">Any change in the outlook for global New Equipment units, currently expected to decline roughly 2% in 2026.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e4ba0d124e866e97098eb80c07a19b076cf5ac3"/>
    <w:p>
      <w:pPr>
        <w:pStyle w:val="Heading2"/>
      </w:pPr>
      <w:r>
        <w:t xml:space="preserve">Guidance math leaves little room for another reset</w:t>
      </w:r>
    </w:p>
    <w:p>
      <w:pPr>
        <w:pStyle w:val="FirstParagraph"/>
      </w:pPr>
      <w:r>
        <w:t xml:space="preserve">Otis reaffirmed full-year adjusted EPS guidance of</w:t>
      </w:r>
      <w:r>
        <w:t xml:space="preserve"> </w:t>
      </w:r>
      <m:oMath>
        <m:r>
          <m:t>4.20</m:t>
        </m:r>
        <m:r>
          <m:rPr>
            <m:sty m:val="p"/>
          </m:rPr>
          <m:t>–</m:t>
        </m:r>
      </m:oMath>
      <w:r>
        <w:rPr>
          <w:b/>
          <w:bCs/>
        </w:rPr>
        <w:t xml:space="preserve">4.24</w:t>
      </w:r>
      <w:r>
        <w:t xml:space="preserve"> </w:t>
      </w:r>
      <w:r>
        <w:t xml:space="preserve">after 1Q, despite narrowing the range and lowering the top end. With 1Q adjusted EPS of</w:t>
      </w:r>
      <w:r>
        <w:t xml:space="preserve"> </w:t>
      </w:r>
      <m:oMath>
        <m:r>
          <m:t>0.89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d</m:t>
        </m:r>
        <m:r>
          <m:t>2</m:t>
        </m:r>
        <m:r>
          <m:t>Q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1.00–</w:t>
      </w:r>
      <m:oMath>
        <m:r>
          <m:t>1.02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2.29–$2.35</w:t>
      </w:r>
      <w:r>
        <w:t xml:space="preserve"> </w:t>
      </w:r>
      <w:r>
        <w:t xml:space="preserve">of adjusted EPS in the second half.</w:t>
      </w:r>
    </w:p>
    <w:p>
      <w:pPr>
        <w:pStyle w:val="BodyText"/>
      </w:pPr>
      <w:r>
        <w:t xml:space="preserve">That means the full-year plan depends on:</w:t>
      </w:r>
    </w:p>
    <w:p>
      <w:pPr>
        <w:pStyle w:val="Compact"/>
        <w:numPr>
          <w:ilvl w:val="0"/>
          <w:numId w:val="1008"/>
        </w:numPr>
      </w:pPr>
      <w:r>
        <w:t xml:space="preserve">Service growth accelerating;</w:t>
      </w:r>
    </w:p>
    <w:p>
      <w:pPr>
        <w:pStyle w:val="Compact"/>
        <w:numPr>
          <w:ilvl w:val="0"/>
          <w:numId w:val="1008"/>
        </w:numPr>
      </w:pPr>
      <w:r>
        <w:t xml:space="preserve">Service margin recovery;</w:t>
      </w:r>
    </w:p>
    <w:p>
      <w:pPr>
        <w:pStyle w:val="Compact"/>
        <w:numPr>
          <w:ilvl w:val="0"/>
          <w:numId w:val="1008"/>
        </w:numPr>
      </w:pPr>
      <w:r>
        <w:t xml:space="preserve">Repair and modernization backlog conversion;</w:t>
      </w:r>
    </w:p>
    <w:p>
      <w:pPr>
        <w:pStyle w:val="Compact"/>
        <w:numPr>
          <w:ilvl w:val="0"/>
          <w:numId w:val="1008"/>
        </w:numPr>
      </w:pPr>
      <w:r>
        <w:t xml:space="preserve">Better New Equipment volume trends, particularly in the Americas;</w:t>
      </w:r>
    </w:p>
    <w:p>
      <w:pPr>
        <w:pStyle w:val="Compact"/>
        <w:numPr>
          <w:ilvl w:val="0"/>
          <w:numId w:val="1008"/>
        </w:numPr>
      </w:pPr>
      <w:r>
        <w:t xml:space="preserve">Realization of pricing and cost-reduction benefits; and</w:t>
      </w:r>
    </w:p>
    <w:p>
      <w:pPr>
        <w:pStyle w:val="Compact"/>
        <w:numPr>
          <w:ilvl w:val="0"/>
          <w:numId w:val="1008"/>
        </w:numPr>
      </w:pPr>
      <w:r>
        <w:t xml:space="preserve">No meaningful incremental disruption from the Middle East, tariffs, or logistics.</w:t>
      </w:r>
    </w:p>
    <w:p>
      <w:pPr>
        <w:pStyle w:val="FirstParagraph"/>
      </w:pPr>
      <w:r>
        <w:t xml:space="preserve">Management has said it expects second-half Service organic growth of roughly</w:t>
      </w:r>
      <w:r>
        <w:t xml:space="preserve"> </w:t>
      </w:r>
      <w:r>
        <w:rPr>
          <w:b/>
          <w:bCs/>
        </w:rPr>
        <w:t xml:space="preserve">7%</w:t>
      </w:r>
      <w:r>
        <w:t xml:space="preserve">, repair growth around</w:t>
      </w:r>
      <w:r>
        <w:t xml:space="preserve"> </w:t>
      </w:r>
      <w:r>
        <w:rPr>
          <w:b/>
          <w:bCs/>
        </w:rPr>
        <w:t xml:space="preserve">10%</w:t>
      </w:r>
      <w:r>
        <w:t xml:space="preserve">, modernization growth above</w:t>
      </w:r>
      <w:r>
        <w:t xml:space="preserve"> </w:t>
      </w:r>
      <w:r>
        <w:rPr>
          <w:b/>
          <w:bCs/>
        </w:rPr>
        <w:t xml:space="preserve">10%</w:t>
      </w:r>
      <w:r>
        <w:t xml:space="preserve">, and operating-profit improvement supported by pricing and targeted indirect-cost reductions.</w:t>
      </w:r>
    </w:p>
    <w:p>
      <w:pPr>
        <w:pStyle w:val="BodyText"/>
      </w:pPr>
      <w:r>
        <w:rPr>
          <w:b/>
          <w:bCs/>
        </w:rPr>
        <w:t xml:space="preserve">Bottom line:</w:t>
      </w:r>
      <w:r>
        <w:t xml:space="preserve"> </w:t>
      </w:r>
      <w:r>
        <w:t xml:space="preserve">Guidance maintenance matters, but the credibility of the</w:t>
      </w:r>
      <w:r>
        <w:t xml:space="preserve"> </w:t>
      </w:r>
      <w:r>
        <w:rPr>
          <w:i/>
          <w:iCs/>
        </w:rPr>
        <w:t xml:space="preserve">second-half bridge</w:t>
      </w:r>
      <w:r>
        <w:t xml:space="preserve"> </w:t>
      </w:r>
      <w:r>
        <w:t xml:space="preserve">matters more.</w:t>
      </w:r>
    </w:p>
    <w:p>
      <w:r>
        <w:pict>
          <v:rect style="width:0;height:1.5pt" o:hralign="center" o:hrstd="t" o:hr="t"/>
        </w:pict>
      </w:r>
    </w:p>
    <w:bookmarkEnd w:id="16"/>
    <w:bookmarkStart w:id="17" w:name="X37fc14fd966df00221bfbb9db376b3b071d6247"/>
    <w:p>
      <w:pPr>
        <w:pStyle w:val="Heading2"/>
      </w:pPr>
      <w:r>
        <w:t xml:space="preserve">Cash flow and capital allocation: supportive, but leverage remains relevant</w:t>
      </w:r>
    </w:p>
    <w:p>
      <w:pPr>
        <w:pStyle w:val="FirstParagraph"/>
      </w:pPr>
      <w:r>
        <w:t xml:space="preserve">Otis generated</w:t>
      </w:r>
      <w:r>
        <w:t xml:space="preserve"> </w:t>
      </w:r>
      <w:r>
        <w:rPr>
          <w:b/>
          <w:bCs/>
        </w:rPr>
        <w:t xml:space="preserve">$272 million</w:t>
      </w:r>
      <w:r>
        <w:t xml:space="preserve"> </w:t>
      </w:r>
      <w:r>
        <w:t xml:space="preserve">of adjusted free cash flow in 1Q, up from</w:t>
      </w:r>
      <w:r>
        <w:t xml:space="preserve"> </w:t>
      </w:r>
      <m:oMath>
        <m:r>
          <m:t>186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e</m:t>
        </m:r>
        <m:r>
          <m:t>a</m:t>
        </m:r>
        <m:r>
          <m:t>r</m:t>
        </m:r>
        <m:r>
          <m:t>l</m:t>
        </m:r>
        <m:r>
          <m:t>i</m:t>
        </m:r>
        <m:r>
          <m:t>e</m:t>
        </m:r>
        <m:r>
          <m:t>r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m</m:t>
        </m:r>
        <m:r>
          <m:t>a</m:t>
        </m:r>
        <m:r>
          <m:t>i</m:t>
        </m:r>
        <m:r>
          <m:t>n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1.60B–</w:t>
      </w:r>
      <m:oMath>
        <m:r>
          <m:t>1.65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F</m:t>
        </m:r>
        <m:r>
          <m:t>C</m:t>
        </m:r>
        <m:r>
          <m:t>F</m:t>
        </m:r>
        <m:r>
          <m:t>o</m:t>
        </m:r>
        <m:r>
          <m:t>u</m:t>
        </m:r>
        <m:r>
          <m:t>t</m:t>
        </m:r>
        <m:r>
          <m:t>l</m:t>
        </m:r>
        <m:r>
          <m:t>o</m:t>
        </m:r>
        <m:r>
          <m:t>o</m:t>
        </m:r>
        <m:r>
          <m:t>k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t>a</m:t>
        </m:r>
        <m:r>
          <m:t>l</m:t>
        </m:r>
        <m:r>
          <m:t>s</m:t>
        </m:r>
        <m:r>
          <m:t>o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400 million** of stock in 1Q and targeted</w:t>
      </w:r>
      <w:r>
        <w:t xml:space="preserve"> </w:t>
      </w:r>
      <w:r>
        <w:rPr>
          <w:b/>
          <w:bCs/>
        </w:rPr>
        <w:t xml:space="preserve">$800 million</w:t>
      </w:r>
      <w:r>
        <w:t xml:space="preserve"> </w:t>
      </w:r>
      <w:r>
        <w:t xml:space="preserve">for the full year, front-loaded into the first half.</w:t>
      </w:r>
    </w:p>
    <w:p>
      <w:pPr>
        <w:pStyle w:val="BodyText"/>
      </w:pPr>
      <w:r>
        <w:t xml:space="preserve">That return-of-capital profile supports EPS and shareholder returns. However, investors should keep an eye on balance-sheet discipline:</w:t>
      </w:r>
    </w:p>
    <w:p>
      <w:pPr>
        <w:pStyle w:val="Compact"/>
        <w:numPr>
          <w:ilvl w:val="0"/>
          <w:numId w:val="1009"/>
        </w:numPr>
      </w:pPr>
      <w:r>
        <w:t xml:space="preserve">March 31 net debt was approximately</w:t>
      </w:r>
      <w:r>
        <w:t xml:space="preserve"> </w:t>
      </w:r>
      <w:r>
        <w:rPr>
          <w:b/>
          <w:bCs/>
        </w:rPr>
        <w:t xml:space="preserve">$7.0 billion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Otis has a large shareholders’ equity deficit, largely reflecting its debt-funded capital-return model and share repurchases;</w:t>
      </w:r>
    </w:p>
    <w:p>
      <w:pPr>
        <w:pStyle w:val="Compact"/>
        <w:numPr>
          <w:ilvl w:val="0"/>
          <w:numId w:val="1009"/>
        </w:numPr>
      </w:pPr>
      <w:r>
        <w:t xml:space="preserve">In April, Otis completed a majority investment in WeMaintain for about</w:t>
      </w:r>
      <w:r>
        <w:t xml:space="preserve"> </w:t>
      </w:r>
      <w:r>
        <w:rPr>
          <w:b/>
          <w:bCs/>
        </w:rPr>
        <w:t xml:space="preserve">$170 million</w:t>
      </w:r>
      <w:r>
        <w:t xml:space="preserve">, funded with cash and commercial paper.</w:t>
      </w:r>
    </w:p>
    <w:p>
      <w:pPr>
        <w:pStyle w:val="FirstParagraph"/>
      </w:pPr>
      <w:r>
        <w:t xml:space="preserve">WeMaintain is strategically interesting—particularly for multi-brand service, digital tools, and AI-enabled workflow—but it should not be viewed as a material near-term earnings driver.</w:t>
      </w:r>
    </w:p>
    <w:p>
      <w:r>
        <w:pict>
          <v:rect style="width:0;height:1.5pt" o:hralign="center" o:hrstd="t" o:hr="t"/>
        </w:pict>
      </w:r>
    </w:p>
    <w:bookmarkEnd w:id="17"/>
    <w:bookmarkStart w:id="18" w:name="stock-and-sentiment-into-the-print"/>
    <w:p>
      <w:pPr>
        <w:pStyle w:val="Heading2"/>
      </w:pPr>
      <w:r>
        <w:t xml:space="preserve">Stock and sentiment into the print</w:t>
      </w:r>
    </w:p>
    <w:p>
      <w:pPr>
        <w:pStyle w:val="FirstParagraph"/>
      </w:pPr>
      <w:r>
        <w:t xml:space="preserve">OTIS closed at</w:t>
      </w:r>
      <w:r>
        <w:t xml:space="preserve"> </w:t>
      </w:r>
      <m:oMath>
        <m:r>
          <m:t>71.97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m</m:t>
        </m:r>
        <m:r>
          <m:t>o</m:t>
        </m:r>
        <m:r>
          <m:t>d</m:t>
        </m:r>
        <m:r>
          <m:t>e</m:t>
        </m:r>
        <m:r>
          <m:t>s</m:t>
        </m:r>
        <m:r>
          <m:t>t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72.48 on June 22</w:t>
      </w:r>
      <w:r>
        <w:t xml:space="preserve">, but off a recent</w:t>
      </w:r>
      <w:r>
        <w:t xml:space="preserve"> </w:t>
      </w:r>
      <w:r>
        <w:rPr>
          <w:b/>
          <w:bCs/>
        </w:rPr>
        <w:t xml:space="preserve">$75.00</w:t>
      </w:r>
      <w:r>
        <w:t xml:space="preserve"> </w:t>
      </w:r>
      <w:r>
        <w:t xml:space="preserve">close on July 16. Near-term sentiment appears neutral-to-cautious, reflecting the margin-reset concern, China exposure, and skepticism around the timing of a New Equipment recovery.</w:t>
      </w:r>
    </w:p>
    <w:p>
      <w:pPr>
        <w:pStyle w:val="BodyText"/>
      </w:pPr>
      <w:r>
        <w:t xml:space="preserve">The setup therefore appears less about a demanding headline expectation and more about</w:t>
      </w:r>
      <w:r>
        <w:t xml:space="preserve"> </w:t>
      </w:r>
      <w:r>
        <w:rPr>
          <w:b/>
          <w:bCs/>
        </w:rPr>
        <w:t xml:space="preserve">whether investors trust the trajectory after the quarter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8"/>
    <w:bookmarkStart w:id="21" w:name="earnings-call-checklist"/>
    <w:p>
      <w:pPr>
        <w:pStyle w:val="Heading2"/>
      </w:pPr>
      <w:r>
        <w:t xml:space="preserve">Earnings-call checklist</w:t>
      </w:r>
    </w:p>
    <w:bookmarkStart w:id="19" w:name="potential-positive-catalysts"/>
    <w:p>
      <w:pPr>
        <w:pStyle w:val="Heading3"/>
      </w:pPr>
      <w:r>
        <w:t xml:space="preserve">Potential positive catalysts</w:t>
      </w:r>
    </w:p>
    <w:p>
      <w:pPr>
        <w:pStyle w:val="Compact"/>
        <w:numPr>
          <w:ilvl w:val="0"/>
          <w:numId w:val="1010"/>
        </w:numPr>
      </w:pPr>
      <w:r>
        <w:t xml:space="preserve">Service margin at or above the roughly 24% level implied by management;</w:t>
      </w:r>
    </w:p>
    <w:p>
      <w:pPr>
        <w:pStyle w:val="Compact"/>
        <w:numPr>
          <w:ilvl w:val="0"/>
          <w:numId w:val="1010"/>
        </w:numPr>
      </w:pPr>
      <w:r>
        <w:t xml:space="preserve">Strong repair and modernization revenue growth, with confirmation of robust order conversion;</w:t>
      </w:r>
    </w:p>
    <w:p>
      <w:pPr>
        <w:pStyle w:val="Compact"/>
        <w:numPr>
          <w:ilvl w:val="0"/>
          <w:numId w:val="1010"/>
        </w:numPr>
      </w:pPr>
      <w:r>
        <w:t xml:space="preserve">Evidence that maintenance pricing and retention are improving;</w:t>
      </w:r>
    </w:p>
    <w:p>
      <w:pPr>
        <w:pStyle w:val="Compact"/>
        <w:numPr>
          <w:ilvl w:val="0"/>
          <w:numId w:val="1010"/>
        </w:numPr>
      </w:pPr>
      <w:r>
        <w:t xml:space="preserve">Better-than-expected Americas New Equipment revenue or order trends;</w:t>
      </w:r>
    </w:p>
    <w:p>
      <w:pPr>
        <w:pStyle w:val="Compact"/>
        <w:numPr>
          <w:ilvl w:val="0"/>
          <w:numId w:val="1010"/>
        </w:numPr>
      </w:pPr>
      <w:r>
        <w:t xml:space="preserve">Reaffirmation of full-year EPS and free-cash-flow guidance with a credible second-half cadence;</w:t>
      </w:r>
    </w:p>
    <w:p>
      <w:pPr>
        <w:pStyle w:val="Compact"/>
        <w:numPr>
          <w:ilvl w:val="0"/>
          <w:numId w:val="1010"/>
        </w:numPr>
      </w:pPr>
      <w:r>
        <w:t xml:space="preserve">Continued buyback execution.</w:t>
      </w:r>
    </w:p>
    <w:bookmarkEnd w:id="19"/>
    <w:bookmarkStart w:id="20" w:name="potential-negative-catalysts"/>
    <w:p>
      <w:pPr>
        <w:pStyle w:val="Heading3"/>
      </w:pPr>
      <w:r>
        <w:t xml:space="preserve">Potential negative catalysts</w:t>
      </w:r>
    </w:p>
    <w:p>
      <w:pPr>
        <w:pStyle w:val="Compact"/>
        <w:numPr>
          <w:ilvl w:val="0"/>
          <w:numId w:val="1011"/>
        </w:numPr>
      </w:pPr>
      <w:r>
        <w:t xml:space="preserve">Service-margin performance below the implied 2Q trajectory;</w:t>
      </w:r>
    </w:p>
    <w:p>
      <w:pPr>
        <w:pStyle w:val="Compact"/>
        <w:numPr>
          <w:ilvl w:val="0"/>
          <w:numId w:val="1011"/>
        </w:numPr>
      </w:pPr>
      <w:r>
        <w:t xml:space="preserve">A delay in expected pricing recovery or cost pass-through;</w:t>
      </w:r>
    </w:p>
    <w:p>
      <w:pPr>
        <w:pStyle w:val="Compact"/>
        <w:numPr>
          <w:ilvl w:val="0"/>
          <w:numId w:val="1011"/>
        </w:numPr>
      </w:pPr>
      <w:r>
        <w:t xml:space="preserve">Further deterioration in China New Equipment pricing, orders, or margins;</w:t>
      </w:r>
    </w:p>
    <w:p>
      <w:pPr>
        <w:pStyle w:val="Compact"/>
        <w:numPr>
          <w:ilvl w:val="0"/>
          <w:numId w:val="1011"/>
        </w:numPr>
      </w:pPr>
      <w:r>
        <w:t xml:space="preserve">Reduced confidence in 4Q Service-margin expansion;</w:t>
      </w:r>
    </w:p>
    <w:p>
      <w:pPr>
        <w:pStyle w:val="Compact"/>
        <w:numPr>
          <w:ilvl w:val="0"/>
          <w:numId w:val="1011"/>
        </w:numPr>
      </w:pPr>
      <w:r>
        <w:t xml:space="preserve">A guidance reduction, or unchanged guidance paired with a weaker implied second-half bridge;</w:t>
      </w:r>
    </w:p>
    <w:p>
      <w:pPr>
        <w:pStyle w:val="Compact"/>
        <w:numPr>
          <w:ilvl w:val="0"/>
          <w:numId w:val="1011"/>
        </w:numPr>
      </w:pPr>
      <w:r>
        <w:t xml:space="preserve">More material-than-expected disruption from logistics, tariffs, or Middle East project delays.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Otis has the ingredients for a constructive medium-term story: a large installed base, durable maintenance revenue, aging-equipment modernization demand, attractive repair economics, and strong backlog. But 2Q26 is unlikely to settle on the headline EPS number alone. Investors need confirmation that</w:t>
      </w:r>
      <w:r>
        <w:t xml:space="preserve"> </w:t>
      </w:r>
      <w:r>
        <w:rPr>
          <w:b/>
          <w:bCs/>
        </w:rPr>
        <w:t xml:space="preserve">1Q’s Service-margin decline was the low point</w:t>
      </w:r>
      <w:r>
        <w:t xml:space="preserve">, rather than the beginning of a more persistent profitability problem.</w:t>
      </w:r>
    </w:p>
    <w:p>
      <w:pPr>
        <w:pStyle w:val="BodyText"/>
      </w:pPr>
      <w:r>
        <w:t xml:space="preserve">A clean report would show sequential Service-margin improvement, accelerating repair/modernization conversion, stable-to-improving maintenance retention, and confidence in the second-half earnings step-up. Conversely, another margin disappointment would likely intensify concern that the company’s investment and mix headwinds are taking longer to resolve than expected.</w:t>
      </w:r>
    </w:p>
    <w:p>
      <w:pPr>
        <w:pStyle w:val="BodyText"/>
      </w:pPr>
      <w:r>
        <w:rPr>
          <w:i/>
          <w:iCs/>
        </w:rPr>
        <w:t xml:space="preserve">Source material: Otis 1Q26 earnings release, 1Q26 earnings-call transcript, 1Q26 Form 10-Q, 2Q25 earnings release, and recent market-news/price data.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2026-07-22T00:16:52Z</dcterms:created>
  <dcterms:modified xsi:type="dcterms:W3CDTF">2026-07-22T00:16:52Z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