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Otis Worldwide Corporation (OTIS)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Otis Worldwide Corporation</w:t>
            </w:r>
          </w:p>
        </w:tc>
      </w:tr>
      <w:tr>
        <w:tc>
          <w:tcPr>
            <w:tcW w:type="dxa" w:w="4320"/>
          </w:tcPr>
          <w:p>
            <w:r>
              <w:rPr>
                <w:rFonts w:ascii="Calibri" w:hAnsi="Calibri"/>
                <w:b/>
                <w:sz w:val="22"/>
              </w:rPr>
              <w:t>Ticker</w:t>
            </w:r>
          </w:p>
        </w:tc>
        <w:tc>
          <w:tcPr>
            <w:tcW w:type="dxa" w:w="4320"/>
          </w:tcPr>
          <w:p>
            <w:r>
              <w:rPr>
                <w:rFonts w:ascii="Calibri" w:hAnsi="Calibri"/>
                <w:sz w:val="22"/>
              </w:rPr>
              <w:t>NYSE: OTIS</w:t>
            </w:r>
          </w:p>
        </w:tc>
      </w:tr>
      <w:tr>
        <w:tc>
          <w:tcPr>
            <w:tcW w:type="dxa" w:w="4320"/>
          </w:tcPr>
          <w:p>
            <w:r>
              <w:rPr>
                <w:rFonts w:ascii="Calibri" w:hAnsi="Calibri"/>
                <w:b/>
                <w:sz w:val="22"/>
              </w:rPr>
              <w:t>Upcoming Earnings Date</w:t>
            </w:r>
          </w:p>
        </w:tc>
        <w:tc>
          <w:tcPr>
            <w:tcW w:type="dxa" w:w="4320"/>
          </w:tcPr>
          <w:p>
            <w:r>
              <w:rPr>
                <w:rFonts w:ascii="Calibri" w:hAnsi="Calibri"/>
                <w:sz w:val="22"/>
              </w:rPr>
              <w:t>July 22, 2026 — 8:30 AM ET (Q2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Q1 2026 — April 22,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low bar with meaningful upside optionality — consensus already prices in a ~3–5% EPS decline year-over-year (guided by management), making the key swing factor whether service margin recovers sequentially toward the guided ~24% level and whether Middle East headwinds ease as assumed.</w:t>
      </w:r>
    </w:p>
    <w:p>
      <w:r>
        <w:rPr>
          <w:rFonts w:ascii="Calibri" w:hAnsi="Calibri"/>
          <w:color w:val="525866"/>
          <w:sz w:val="22"/>
        </w:rPr>
        <w:t xml:space="preserve">Heading into Q2 2026, the bar for OTIS is deliberately low: management guided adjusted EPS down 3–5% year-over-year at a similar magnitude to Q1’s decline, and consensus at ~$1.03 reflects that guidance almost exactly, leaving little room for a negative surprise but meaningful upside if execution improves. </w:t>
      </w:r>
      <w:r>
        <w:rPr>
          <w:rFonts w:ascii="Calibri" w:hAnsi="Calibri"/>
          <w:b/>
          <w:color w:val="525866"/>
          <w:sz w:val="22"/>
        </w:rPr>
        <w:t>Management’s posture on the Q1 call was cautiously constructive</w:t>
      </w:r>
      <w:r>
        <w:rPr>
          <w:rFonts w:ascii="Calibri" w:hAnsi="Calibri"/>
          <w:color w:val="525866"/>
          <w:sz w:val="22"/>
        </w:rPr>
        <w:t xml:space="preserve"> — they reaffirmed full-year guidance, provided a detailed quarterly recovery path for service margins (Q2 ~24%, stabilize in Q3, expand year-over-year in Q4), and expressed confidence that the H1 headwinds are transitory and recoverable. Estimate revisions since the Q1 print have been modest and largely in line with guidance, with the 2Q FY2026 EPS consensus moving from $1.01 (as of April 27) to $1.03 currently, suggesting the Street has largely digested the guided step-down without further deterioration. </w:t>
      </w:r>
      <w:r>
        <w:rPr>
          <w:rFonts w:ascii="Calibri" w:hAnsi="Calibri"/>
          <w:b/>
          <w:color w:val="525866"/>
          <w:sz w:val="22"/>
        </w:rPr>
        <w:t>The stock has underperformed materially since Q1 earnings — down ~7.6% vs. XLI +4.5% and SPY +5.2%</w:t>
      </w:r>
      <w:r>
        <w:rPr>
          <w:rFonts w:ascii="Calibri" w:hAnsi="Calibri"/>
          <w:color w:val="525866"/>
          <w:sz w:val="22"/>
        </w:rPr>
        <w:t xml:space="preserve"> — trading at a low-20s forward P/E that sits below its historical average and well below the peer group, implying the market has already priced in significant execution risk and leaving the stock with asymmetric upside if H2 recovery materializes. The single biggest wildcard is the </w:t>
      </w:r>
      <w:r>
        <w:rPr>
          <w:rFonts w:ascii="Calibri" w:hAnsi="Calibri"/>
          <w:b/>
          <w:color w:val="525866"/>
          <w:sz w:val="22"/>
        </w:rPr>
        <w:t>Middle East conflict trajectory</w:t>
      </w:r>
      <w:r>
        <w:rPr>
          <w:rFonts w:ascii="Calibri" w:hAnsi="Calibri"/>
          <w:color w:val="525866"/>
          <w:sz w:val="22"/>
        </w:rPr>
        <w:t>: management’s Q2 guidance explicitly assumed the conflict ends in Q2, and if it persists, the company flagged a $5–10M per quarter profit headwind from project delays, logistics disruptions, and cost inflation — a risk that peers including Trane Technologies, Carrier, Honeywell, and Emerson all flagged as a live headwind in their own Q1/Q2 prints.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a low bar — EPS guided down 3–5% YoY and already embedded in estimates. </w:t>
      </w:r>
      <w:r>
        <w:rPr>
          <w:rFonts w:ascii="Calibri" w:hAnsi="Calibri"/>
          <w:b/>
          <w:color w:val="525866"/>
          <w:sz w:val="22"/>
        </w:rPr>
        <w:t>Service margin is the bigger swing factor</w:t>
      </w:r>
      <w:r>
        <w:rPr>
          <w:rFonts w:ascii="Calibri" w:hAnsi="Calibri"/>
          <w:color w:val="525866"/>
          <w:sz w:val="22"/>
        </w:rPr>
        <w:t>: a sequential recovery from Q1’s 23.0% toward the guided ~24% would be the primary positive catalyst, while any further deterioration would be the key downside risk.</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$3.566B</w:t>
            </w:r>
          </w:p>
        </w:tc>
        <w:tc>
          <w:tcPr>
            <w:tcW w:type="dxa" w:w="1234"/>
          </w:tcPr>
          <w:p>
            <w:r>
              <w:rPr>
                <w:rFonts w:ascii="Calibri" w:hAnsi="Calibri"/>
                <w:sz w:val="22"/>
              </w:rPr>
              <w:t>$3.595B</w:t>
            </w:r>
          </w:p>
        </w:tc>
        <w:tc>
          <w:tcPr>
            <w:tcW w:type="dxa" w:w="1234"/>
          </w:tcPr>
          <w:p>
            <w:r>
              <w:rPr>
                <w:rFonts w:ascii="Calibri" w:hAnsi="Calibri"/>
                <w:sz w:val="22"/>
              </w:rPr>
              <w:t>$3.742B</w:t>
            </w:r>
          </w:p>
        </w:tc>
        <w:tc>
          <w:tcPr>
            <w:tcW w:type="dxa" w:w="1234"/>
          </w:tcPr>
          <w:p>
            <w:r>
              <w:rPr>
                <w:rFonts w:ascii="Calibri" w:hAnsi="Calibri"/>
                <w:sz w:val="22"/>
              </w:rPr>
              <w:t>+4.1%</w:t>
            </w:r>
          </w:p>
        </w:tc>
        <w:tc>
          <w:tcPr>
            <w:tcW w:type="dxa" w:w="1234"/>
          </w:tcPr>
          <w:p>
            <w:r>
              <w:rPr>
                <w:rFonts w:ascii="Calibri" w:hAnsi="Calibri"/>
                <w:sz w:val="22"/>
              </w:rPr>
              <w:t>$15.1–15.3B (FY)</w:t>
            </w:r>
          </w:p>
        </w:tc>
        <w:tc>
          <w:tcPr>
            <w:tcW w:type="dxa" w:w="1234"/>
          </w:tcPr>
          <w:p>
            <w:r>
              <w:rPr>
                <w:rFonts w:ascii="Calibri" w:hAnsi="Calibri"/>
                <w:sz w:val="22"/>
              </w:rPr>
              <w:t>In line with FY run-rate</w:t>
            </w:r>
          </w:p>
        </w:tc>
      </w:tr>
      <w:tr>
        <w:tc>
          <w:tcPr>
            <w:tcW w:type="dxa" w:w="1234"/>
          </w:tcPr>
          <w:p>
            <w:r>
              <w:rPr>
                <w:rFonts w:ascii="Calibri" w:hAnsi="Calibri"/>
                <w:sz w:val="22"/>
              </w:rPr>
              <w:t>Service Sales ($B)</w:t>
            </w:r>
          </w:p>
        </w:tc>
        <w:tc>
          <w:tcPr>
            <w:tcW w:type="dxa" w:w="1234"/>
          </w:tcPr>
          <w:p>
            <w:r>
              <w:rPr>
                <w:rFonts w:ascii="Calibri" w:hAnsi="Calibri"/>
                <w:sz w:val="22"/>
              </w:rPr>
              <w:t>$2.417B</w:t>
            </w:r>
          </w:p>
        </w:tc>
        <w:tc>
          <w:tcPr>
            <w:tcW w:type="dxa" w:w="1234"/>
          </w:tcPr>
          <w:p>
            <w:r>
              <w:rPr>
                <w:rFonts w:ascii="Calibri" w:hAnsi="Calibri"/>
                <w:sz w:val="22"/>
              </w:rPr>
              <w:t>$2.319B</w:t>
            </w:r>
          </w:p>
        </w:tc>
        <w:tc>
          <w:tcPr>
            <w:tcW w:type="dxa" w:w="1234"/>
          </w:tcPr>
          <w:p>
            <w:r>
              <w:rPr>
                <w:rFonts w:ascii="Calibri" w:hAnsi="Calibri"/>
                <w:sz w:val="22"/>
              </w:rPr>
              <w:t>$2.482B</w:t>
            </w:r>
          </w:p>
        </w:tc>
        <w:tc>
          <w:tcPr>
            <w:tcW w:type="dxa" w:w="1234"/>
          </w:tcPr>
          <w:p>
            <w:r>
              <w:rPr>
                <w:rFonts w:ascii="Calibri" w:hAnsi="Calibri"/>
                <w:sz w:val="22"/>
              </w:rPr>
              <w:t>+7.0%</w:t>
            </w:r>
          </w:p>
        </w:tc>
        <w:tc>
          <w:tcPr>
            <w:tcW w:type="dxa" w:w="1234"/>
          </w:tcPr>
          <w:p>
            <w:r>
              <w:rPr>
                <w:rFonts w:ascii="Calibri" w:hAnsi="Calibri"/>
                <w:sz w:val="22"/>
              </w:rPr>
              <w:t>Mid-to-high single-digit organic growth</w:t>
            </w:r>
          </w:p>
        </w:tc>
        <w:tc>
          <w:tcPr>
            <w:tcW w:type="dxa" w:w="1234"/>
          </w:tcPr>
          <w:p>
            <w:r>
              <w:rPr>
                <w:rFonts w:ascii="Calibri" w:hAnsi="Calibri"/>
                <w:sz w:val="22"/>
              </w:rPr>
              <w:t>In line</w:t>
            </w:r>
          </w:p>
        </w:tc>
      </w:tr>
      <w:tr>
        <w:tc>
          <w:tcPr>
            <w:tcW w:type="dxa" w:w="1234"/>
          </w:tcPr>
          <w:p>
            <w:r>
              <w:rPr>
                <w:rFonts w:ascii="Calibri" w:hAnsi="Calibri"/>
                <w:sz w:val="22"/>
              </w:rPr>
              <w:t>New Equipment Sales ($B)</w:t>
            </w:r>
          </w:p>
        </w:tc>
        <w:tc>
          <w:tcPr>
            <w:tcW w:type="dxa" w:w="1234"/>
          </w:tcPr>
          <w:p>
            <w:r>
              <w:rPr>
                <w:rFonts w:ascii="Calibri" w:hAnsi="Calibri"/>
                <w:sz w:val="22"/>
              </w:rPr>
              <w:t>$1.149B</w:t>
            </w:r>
          </w:p>
        </w:tc>
        <w:tc>
          <w:tcPr>
            <w:tcW w:type="dxa" w:w="1234"/>
          </w:tcPr>
          <w:p>
            <w:r>
              <w:rPr>
                <w:rFonts w:ascii="Calibri" w:hAnsi="Calibri"/>
                <w:sz w:val="22"/>
              </w:rPr>
              <w:t>$1.276B</w:t>
            </w:r>
          </w:p>
        </w:tc>
        <w:tc>
          <w:tcPr>
            <w:tcW w:type="dxa" w:w="1234"/>
          </w:tcPr>
          <w:p>
            <w:r>
              <w:rPr>
                <w:rFonts w:ascii="Calibri" w:hAnsi="Calibri"/>
                <w:sz w:val="22"/>
              </w:rPr>
              <w:t>$1.262B</w:t>
            </w:r>
          </w:p>
        </w:tc>
        <w:tc>
          <w:tcPr>
            <w:tcW w:type="dxa" w:w="1234"/>
          </w:tcPr>
          <w:p>
            <w:r>
              <w:rPr>
                <w:rFonts w:ascii="Calibri" w:hAnsi="Calibri"/>
                <w:sz w:val="22"/>
              </w:rPr>
              <w:t>-1.1%</w:t>
            </w:r>
          </w:p>
        </w:tc>
        <w:tc>
          <w:tcPr>
            <w:tcW w:type="dxa" w:w="1234"/>
          </w:tcPr>
          <w:p>
            <w:r>
              <w:rPr>
                <w:rFonts w:ascii="Calibri" w:hAnsi="Calibri"/>
                <w:sz w:val="22"/>
              </w:rPr>
              <w:t>Down low single digits to flat (organic)</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$0.89</w:t>
            </w:r>
          </w:p>
        </w:tc>
        <w:tc>
          <w:tcPr>
            <w:tcW w:type="dxa" w:w="1234"/>
          </w:tcPr>
          <w:p>
            <w:r>
              <w:rPr>
                <w:rFonts w:ascii="Calibri" w:hAnsi="Calibri"/>
                <w:sz w:val="22"/>
              </w:rPr>
              <w:t>$1.05</w:t>
            </w:r>
          </w:p>
        </w:tc>
        <w:tc>
          <w:tcPr>
            <w:tcW w:type="dxa" w:w="1234"/>
          </w:tcPr>
          <w:p>
            <w:r>
              <w:rPr>
                <w:rFonts w:ascii="Calibri" w:hAnsi="Calibri"/>
                <w:sz w:val="22"/>
              </w:rPr>
              <w:t>$1.03</w:t>
            </w:r>
          </w:p>
        </w:tc>
        <w:tc>
          <w:tcPr>
            <w:tcW w:type="dxa" w:w="1234"/>
          </w:tcPr>
          <w:p>
            <w:r>
              <w:rPr>
                <w:rFonts w:ascii="Calibri" w:hAnsi="Calibri"/>
                <w:sz w:val="22"/>
              </w:rPr>
              <w:t>-1.9%</w:t>
            </w:r>
          </w:p>
        </w:tc>
        <w:tc>
          <w:tcPr>
            <w:tcW w:type="dxa" w:w="1234"/>
          </w:tcPr>
          <w:p>
            <w:r>
              <w:rPr>
                <w:rFonts w:ascii="Calibri" w:hAnsi="Calibri"/>
                <w:sz w:val="22"/>
              </w:rPr>
              <w:t>Down 3–5% YoY (Q2 specific)</w:t>
            </w:r>
          </w:p>
        </w:tc>
        <w:tc>
          <w:tcPr>
            <w:tcW w:type="dxa" w:w="1234"/>
          </w:tcPr>
          <w:p>
            <w:r>
              <w:rPr>
                <w:rFonts w:ascii="Calibri" w:hAnsi="Calibri"/>
                <w:sz w:val="22"/>
              </w:rPr>
              <w:t>~+1% above guidance midpoint</w:t>
            </w:r>
          </w:p>
        </w:tc>
      </w:tr>
      <w:tr>
        <w:tc>
          <w:tcPr>
            <w:tcW w:type="dxa" w:w="1234"/>
          </w:tcPr>
          <w:p>
            <w:r>
              <w:rPr>
                <w:rFonts w:ascii="Calibri" w:hAnsi="Calibri"/>
                <w:sz w:val="22"/>
              </w:rPr>
              <w:t>Service Operating Margin (%)</w:t>
            </w:r>
          </w:p>
        </w:tc>
        <w:tc>
          <w:tcPr>
            <w:tcW w:type="dxa" w:w="1234"/>
          </w:tcPr>
          <w:p>
            <w:r>
              <w:rPr>
                <w:rFonts w:ascii="Calibri" w:hAnsi="Calibri"/>
                <w:sz w:val="22"/>
              </w:rPr>
              <w:t>23.0%</w:t>
            </w:r>
          </w:p>
        </w:tc>
        <w:tc>
          <w:tcPr>
            <w:tcW w:type="dxa" w:w="1234"/>
          </w:tcPr>
          <w:p>
            <w:r>
              <w:rPr>
                <w:rFonts w:ascii="Calibri" w:hAnsi="Calibri"/>
                <w:sz w:val="22"/>
              </w:rPr>
              <w:t>24.9%</w:t>
            </w:r>
          </w:p>
        </w:tc>
        <w:tc>
          <w:tcPr>
            <w:tcW w:type="dxa" w:w="1234"/>
          </w:tcPr>
          <w:p>
            <w:r>
              <w:rPr>
                <w:rFonts w:ascii="Calibri" w:hAnsi="Calibri"/>
                <w:sz w:val="22"/>
              </w:rPr>
              <w:t>24.3%</w:t>
            </w:r>
          </w:p>
        </w:tc>
        <w:tc>
          <w:tcPr>
            <w:tcW w:type="dxa" w:w="1234"/>
          </w:tcPr>
          <w:p>
            <w:r>
              <w:rPr>
                <w:rFonts w:ascii="Calibri" w:hAnsi="Calibri"/>
                <w:sz w:val="22"/>
              </w:rPr>
              <w:t>-60 bps</w:t>
            </w:r>
          </w:p>
        </w:tc>
        <w:tc>
          <w:tcPr>
            <w:tcW w:type="dxa" w:w="1234"/>
          </w:tcPr>
          <w:p>
            <w:r>
              <w:rPr>
                <w:rFonts w:ascii="Calibri" w:hAnsi="Calibri"/>
                <w:sz w:val="22"/>
              </w:rPr>
              <w:t>~24% (Q2 specific guidance)</w:t>
            </w:r>
          </w:p>
        </w:tc>
        <w:tc>
          <w:tcPr>
            <w:tcW w:type="dxa" w:w="1234"/>
          </w:tcPr>
          <w:p>
            <w:r>
              <w:rPr>
                <w:rFonts w:ascii="Calibri" w:hAnsi="Calibri"/>
                <w:sz w:val="22"/>
              </w:rPr>
              <w:t>+30 bps above guidance</w:t>
            </w:r>
          </w:p>
        </w:tc>
      </w:tr>
      <w:tr>
        <w:tc>
          <w:tcPr>
            <w:tcW w:type="dxa" w:w="1234"/>
          </w:tcPr>
          <w:p>
            <w:r>
              <w:rPr>
                <w:rFonts w:ascii="Calibri" w:hAnsi="Calibri"/>
                <w:sz w:val="22"/>
              </w:rPr>
              <w:t>New Equipment Operating Margin (%)</w:t>
            </w:r>
          </w:p>
        </w:tc>
        <w:tc>
          <w:tcPr>
            <w:tcW w:type="dxa" w:w="1234"/>
          </w:tcPr>
          <w:p>
            <w:r>
              <w:rPr>
                <w:rFonts w:ascii="Calibri" w:hAnsi="Calibri"/>
                <w:sz w:val="22"/>
              </w:rPr>
              <w:t>3.3%</w:t>
            </w:r>
          </w:p>
        </w:tc>
        <w:tc>
          <w:tcPr>
            <w:tcW w:type="dxa" w:w="1234"/>
          </w:tcPr>
          <w:p>
            <w:r>
              <w:rPr>
                <w:rFonts w:ascii="Calibri" w:hAnsi="Calibri"/>
                <w:sz w:val="22"/>
              </w:rPr>
              <w:t>5.3%</w:t>
            </w:r>
          </w:p>
        </w:tc>
        <w:tc>
          <w:tcPr>
            <w:tcW w:type="dxa" w:w="1234"/>
          </w:tcPr>
          <w:p>
            <w:r>
              <w:rPr>
                <w:rFonts w:ascii="Calibri" w:hAnsi="Calibri"/>
                <w:sz w:val="22"/>
              </w:rPr>
              <w:t>3.7%</w:t>
            </w:r>
          </w:p>
        </w:tc>
        <w:tc>
          <w:tcPr>
            <w:tcW w:type="dxa" w:w="1234"/>
          </w:tcPr>
          <w:p>
            <w:r>
              <w:rPr>
                <w:rFonts w:ascii="Calibri" w:hAnsi="Calibri"/>
                <w:sz w:val="22"/>
              </w:rPr>
              <w:t>-160 bps</w:t>
            </w:r>
          </w:p>
        </w:tc>
        <w:tc>
          <w:tcPr>
            <w:tcW w:type="dxa" w:w="1234"/>
          </w:tcPr>
          <w:p>
            <w:r>
              <w:rPr>
                <w:rFonts w:ascii="Calibri" w:hAnsi="Calibri"/>
                <w:sz w:val="22"/>
              </w:rPr>
              <w:t>~3% for balance of year</w:t>
            </w:r>
          </w:p>
        </w:tc>
        <w:tc>
          <w:tcPr>
            <w:tcW w:type="dxa" w:w="1234"/>
          </w:tcPr>
          <w:p>
            <w:r>
              <w:rPr>
                <w:rFonts w:ascii="Calibri" w:hAnsi="Calibri"/>
                <w:sz w:val="22"/>
              </w:rPr>
              <w:t>+70 bps above guidance</w:t>
            </w:r>
          </w:p>
        </w:tc>
      </w:tr>
      <w:tr>
        <w:tc>
          <w:tcPr>
            <w:tcW w:type="dxa" w:w="1234"/>
          </w:tcPr>
          <w:p>
            <w:r>
              <w:rPr>
                <w:rFonts w:ascii="Calibri" w:hAnsi="Calibri"/>
                <w:sz w:val="22"/>
              </w:rPr>
              <w:t>Service Organic Growth (%)</w:t>
            </w:r>
          </w:p>
        </w:tc>
        <w:tc>
          <w:tcPr>
            <w:tcW w:type="dxa" w:w="1234"/>
          </w:tcPr>
          <w:p>
            <w:r>
              <w:rPr>
                <w:rFonts w:ascii="Calibri" w:hAnsi="Calibri"/>
                <w:sz w:val="22"/>
              </w:rPr>
              <w:t>5.0%</w:t>
            </w:r>
          </w:p>
        </w:tc>
        <w:tc>
          <w:tcPr>
            <w:tcW w:type="dxa" w:w="1234"/>
          </w:tcPr>
          <w:p>
            <w:r>
              <w:rPr>
                <w:rFonts w:ascii="Calibri" w:hAnsi="Calibri"/>
                <w:sz w:val="22"/>
              </w:rPr>
              <w:t>4.0%</w:t>
            </w:r>
          </w:p>
        </w:tc>
        <w:tc>
          <w:tcPr>
            <w:tcW w:type="dxa" w:w="1234"/>
          </w:tcPr>
          <w:p>
            <w:r>
              <w:rPr>
                <w:rFonts w:ascii="Calibri" w:hAnsi="Calibri"/>
                <w:sz w:val="22"/>
              </w:rPr>
              <w:t>5.9%</w:t>
            </w:r>
          </w:p>
        </w:tc>
        <w:tc>
          <w:tcPr>
            <w:tcW w:type="dxa" w:w="1234"/>
          </w:tcPr>
          <w:p>
            <w:r>
              <w:rPr>
                <w:rFonts w:ascii="Calibri" w:hAnsi="Calibri"/>
                <w:sz w:val="22"/>
              </w:rPr>
              <w:t>+190 bps</w:t>
            </w:r>
          </w:p>
        </w:tc>
        <w:tc>
          <w:tcPr>
            <w:tcW w:type="dxa" w:w="1234"/>
          </w:tcPr>
          <w:p>
            <w:r>
              <w:rPr>
                <w:rFonts w:ascii="Calibri" w:hAnsi="Calibri"/>
                <w:sz w:val="22"/>
              </w:rPr>
              <w:t>Mid-to-high single digits</w:t>
            </w:r>
          </w:p>
        </w:tc>
        <w:tc>
          <w:tcPr>
            <w:tcW w:type="dxa" w:w="1234"/>
          </w:tcPr>
          <w:p>
            <w:r>
              <w:rPr>
                <w:rFonts w:ascii="Calibri" w:hAnsi="Calibri"/>
                <w:sz w:val="22"/>
              </w:rPr>
              <w:t>In line</w:t>
            </w:r>
          </w:p>
        </w:tc>
      </w:tr>
      <w:tr>
        <w:tc>
          <w:tcPr>
            <w:tcW w:type="dxa" w:w="1234"/>
          </w:tcPr>
          <w:p>
            <w:r>
              <w:rPr>
                <w:rFonts w:ascii="Calibri" w:hAnsi="Calibri"/>
                <w:sz w:val="22"/>
              </w:rPr>
              <w:t>New Equipment Organic Growth (%)</w:t>
            </w:r>
          </w:p>
        </w:tc>
        <w:tc>
          <w:tcPr>
            <w:tcW w:type="dxa" w:w="1234"/>
          </w:tcPr>
          <w:p>
            <w:r>
              <w:rPr>
                <w:rFonts w:ascii="Calibri" w:hAnsi="Calibri"/>
                <w:sz w:val="22"/>
              </w:rPr>
              <w:t>-5.0%</w:t>
            </w:r>
          </w:p>
        </w:tc>
        <w:tc>
          <w:tcPr>
            <w:tcW w:type="dxa" w:w="1234"/>
          </w:tcPr>
          <w:p>
            <w:r>
              <w:rPr>
                <w:rFonts w:ascii="Calibri" w:hAnsi="Calibri"/>
                <w:sz w:val="22"/>
              </w:rPr>
              <w:t>-11.0%</w:t>
            </w:r>
          </w:p>
        </w:tc>
        <w:tc>
          <w:tcPr>
            <w:tcW w:type="dxa" w:w="1234"/>
          </w:tcPr>
          <w:p>
            <w:r>
              <w:rPr>
                <w:rFonts w:ascii="Calibri" w:hAnsi="Calibri"/>
                <w:sz w:val="22"/>
              </w:rPr>
              <w:t>-1.9%</w:t>
            </w:r>
          </w:p>
        </w:tc>
        <w:tc>
          <w:tcPr>
            <w:tcW w:type="dxa" w:w="1234"/>
          </w:tcPr>
          <w:p>
            <w:r>
              <w:rPr>
                <w:rFonts w:ascii="Calibri" w:hAnsi="Calibri"/>
                <w:sz w:val="22"/>
              </w:rPr>
              <w:t>+910 bps</w:t>
            </w:r>
          </w:p>
        </w:tc>
        <w:tc>
          <w:tcPr>
            <w:tcW w:type="dxa" w:w="1234"/>
          </w:tcPr>
          <w:p>
            <w:r>
              <w:rPr>
                <w:rFonts w:ascii="Calibri" w:hAnsi="Calibri"/>
                <w:sz w:val="22"/>
              </w:rPr>
              <w:t>Down low single digits to flat</w:t>
            </w:r>
          </w:p>
        </w:tc>
        <w:tc>
          <w:tcPr>
            <w:tcW w:type="dxa" w:w="1234"/>
          </w:tcPr>
          <w:p>
            <w:r>
              <w:rPr>
                <w:rFonts w:ascii="Calibri" w:hAnsi="Calibri"/>
                <w:sz w:val="22"/>
              </w:rPr>
              <w:t>In line</w:t>
            </w:r>
          </w:p>
        </w:tc>
      </w:tr>
      <w:tr>
        <w:tc>
          <w:tcPr>
            <w:tcW w:type="dxa" w:w="1234"/>
          </w:tcPr>
          <w:p>
            <w:r>
              <w:rPr>
                <w:rFonts w:ascii="Calibri" w:hAnsi="Calibri"/>
                <w:sz w:val="22"/>
              </w:rPr>
              <w:t>Free Cash Flow ($B)</w:t>
            </w:r>
          </w:p>
        </w:tc>
        <w:tc>
          <w:tcPr>
            <w:tcW w:type="dxa" w:w="1234"/>
          </w:tcPr>
          <w:p>
            <w:r>
              <w:rPr>
                <w:rFonts w:ascii="Calibri" w:hAnsi="Calibri"/>
                <w:sz w:val="22"/>
              </w:rPr>
              <w:t>$0.380B</w:t>
            </w:r>
          </w:p>
        </w:tc>
        <w:tc>
          <w:tcPr>
            <w:tcW w:type="dxa" w:w="1234"/>
          </w:tcPr>
          <w:p>
            <w:r>
              <w:rPr>
                <w:rFonts w:ascii="Calibri" w:hAnsi="Calibri"/>
                <w:sz w:val="22"/>
              </w:rPr>
              <w:t>$0.179B</w:t>
            </w:r>
          </w:p>
        </w:tc>
        <w:tc>
          <w:tcPr>
            <w:tcW w:type="dxa" w:w="1234"/>
          </w:tcPr>
          <w:p>
            <w:r>
              <w:rPr>
                <w:rFonts w:ascii="Calibri" w:hAnsi="Calibri"/>
                <w:sz w:val="22"/>
              </w:rPr>
              <w:t>$0.370B</w:t>
            </w:r>
          </w:p>
        </w:tc>
        <w:tc>
          <w:tcPr>
            <w:tcW w:type="dxa" w:w="1234"/>
          </w:tcPr>
          <w:p>
            <w:r>
              <w:rPr>
                <w:rFonts w:ascii="Calibri" w:hAnsi="Calibri"/>
                <w:sz w:val="22"/>
              </w:rPr>
              <w:t>+107%</w:t>
            </w:r>
          </w:p>
        </w:tc>
        <w:tc>
          <w:tcPr>
            <w:tcW w:type="dxa" w:w="1234"/>
          </w:tcPr>
          <w:p>
            <w:r>
              <w:rPr>
                <w:rFonts w:ascii="Calibri" w:hAnsi="Calibri"/>
                <w:sz w:val="22"/>
              </w:rPr>
              <w:t>$1.60–1.65B (FY)</w:t>
            </w:r>
          </w:p>
        </w:tc>
        <w:tc>
          <w:tcPr>
            <w:tcW w:type="dxa" w:w="1234"/>
          </w:tcPr>
          <w:p>
            <w:r>
              <w:rPr>
                <w:rFonts w:ascii="Calibri" w:hAnsi="Calibri"/>
                <w:sz w:val="22"/>
              </w:rPr>
              <w:t>In line with FY run-rate</w:t>
            </w:r>
          </w:p>
        </w:tc>
      </w:tr>
    </w:tbl>
    <w:p>
      <w:r>
        <w:rPr>
          <w:rFonts w:ascii="Calibri" w:hAnsi="Calibri"/>
          <w:color w:val="525866"/>
          <w:sz w:val="22"/>
        </w:rPr>
        <w:t>Source: Visible Alpha Consensus and Actuals Data. All consensus figures as of July 21, 2026. Q2 2026 guidance per Q1 2026 earnings call (April 22, 2026).</w:t>
      </w:r>
    </w:p>
    <w:p>
      <w:pPr>
        <w:pStyle w:val="Heading3"/>
      </w:pPr>
      <w:r>
        <w:rPr>
          <w:rFonts w:ascii="Calibri" w:hAnsi="Calibri"/>
          <w:b/>
          <w:color w:val="3B4259"/>
          <w:sz w:val="24"/>
        </w:rPr>
        <w:t>Table 2 — Beat/Miss History: Last 8 Quarters (Top 2 KPIs: Adj. EPS &amp; Service Organic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$0.907</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Service Organic Growth</w:t>
            </w:r>
          </w:p>
        </w:tc>
        <w:tc>
          <w:tcPr>
            <w:tcW w:type="dxa" w:w="1440"/>
          </w:tcPr>
          <w:p>
            <w:r>
              <w:rPr>
                <w:rFonts w:ascii="Calibri" w:hAnsi="Calibri"/>
                <w:sz w:val="22"/>
              </w:rPr>
              <w:t>5.0%</w:t>
            </w:r>
          </w:p>
        </w:tc>
        <w:tc>
          <w:tcPr>
            <w:tcW w:type="dxa" w:w="1440"/>
          </w:tcPr>
          <w:p>
            <w:r>
              <w:rPr>
                <w:rFonts w:ascii="Calibri" w:hAnsi="Calibri"/>
                <w:sz w:val="22"/>
              </w:rPr>
              <w:t>6.0%</w:t>
            </w:r>
          </w:p>
        </w:tc>
        <w:tc>
          <w:tcPr>
            <w:tcW w:type="dxa" w:w="1440"/>
          </w:tcPr>
          <w:p>
            <w:r>
              <w:rPr>
                <w:rFonts w:ascii="Calibri" w:hAnsi="Calibri"/>
                <w:b/>
                <w:color w:val="E5484D"/>
                <w:sz w:val="22"/>
              </w:rPr>
              <w:t>-100 bps</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$1.03</w:t>
            </w:r>
          </w:p>
        </w:tc>
        <w:tc>
          <w:tcPr>
            <w:tcW w:type="dxa" w:w="1440"/>
          </w:tcPr>
          <w:p>
            <w:r>
              <w:rPr>
                <w:rFonts w:ascii="Calibri" w:hAnsi="Calibri"/>
                <w:sz w:val="22"/>
              </w:rPr>
              <w:t>$1.032</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Service Organic Growth</w:t>
            </w:r>
          </w:p>
        </w:tc>
        <w:tc>
          <w:tcPr>
            <w:tcW w:type="dxa" w:w="1440"/>
          </w:tcPr>
          <w:p>
            <w:r>
              <w:rPr>
                <w:rFonts w:ascii="Calibri" w:hAnsi="Calibri"/>
                <w:sz w:val="22"/>
              </w:rPr>
              <w:t>5.0%</w:t>
            </w:r>
          </w:p>
        </w:tc>
        <w:tc>
          <w:tcPr>
            <w:tcW w:type="dxa" w:w="1440"/>
          </w:tcPr>
          <w:p>
            <w:r>
              <w:rPr>
                <w:rFonts w:ascii="Calibri" w:hAnsi="Calibri"/>
                <w:sz w:val="22"/>
              </w:rPr>
              <w:t>6.3%</w:t>
            </w:r>
          </w:p>
        </w:tc>
        <w:tc>
          <w:tcPr>
            <w:tcW w:type="dxa" w:w="1440"/>
          </w:tcPr>
          <w:p>
            <w:r>
              <w:rPr>
                <w:rFonts w:ascii="Calibri" w:hAnsi="Calibri"/>
                <w:b/>
                <w:color w:val="E5484D"/>
                <w:sz w:val="22"/>
              </w:rPr>
              <w:t>-130 bps</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$1.05</w:t>
            </w:r>
          </w:p>
        </w:tc>
        <w:tc>
          <w:tcPr>
            <w:tcW w:type="dxa" w:w="1440"/>
          </w:tcPr>
          <w:p>
            <w:r>
              <w:rPr>
                <w:rFonts w:ascii="Calibri" w:hAnsi="Calibri"/>
                <w:sz w:val="22"/>
              </w:rPr>
              <w:t>$1.008</w:t>
            </w:r>
          </w:p>
        </w:tc>
        <w:tc>
          <w:tcPr>
            <w:tcW w:type="dxa" w:w="1440"/>
          </w:tcPr>
          <w:p>
            <w:r>
              <w:rPr>
                <w:rFonts w:ascii="Calibri" w:hAnsi="Calibri"/>
                <w:b/>
                <w:color w:val="30A46C"/>
                <w:sz w:val="22"/>
              </w:rPr>
              <w:t>+4.2%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Service Organic Growth</w:t>
            </w:r>
          </w:p>
        </w:tc>
        <w:tc>
          <w:tcPr>
            <w:tcW w:type="dxa" w:w="1440"/>
          </w:tcPr>
          <w:p>
            <w:r>
              <w:rPr>
                <w:rFonts w:ascii="Calibri" w:hAnsi="Calibri"/>
                <w:sz w:val="22"/>
              </w:rPr>
              <w:t>6.0%</w:t>
            </w:r>
          </w:p>
        </w:tc>
        <w:tc>
          <w:tcPr>
            <w:tcW w:type="dxa" w:w="1440"/>
          </w:tcPr>
          <w:p>
            <w:r>
              <w:rPr>
                <w:rFonts w:ascii="Calibri" w:hAnsi="Calibri"/>
                <w:sz w:val="22"/>
              </w:rPr>
              <w:t>6.1%</w:t>
            </w:r>
          </w:p>
        </w:tc>
        <w:tc>
          <w:tcPr>
            <w:tcW w:type="dxa" w:w="1440"/>
          </w:tcPr>
          <w:p>
            <w:r>
              <w:rPr>
                <w:rFonts w:ascii="Calibri" w:hAnsi="Calibri"/>
                <w:sz w:val="22"/>
              </w:rPr>
              <w:t>-10 bps</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$1.05</w:t>
            </w:r>
          </w:p>
        </w:tc>
        <w:tc>
          <w:tcPr>
            <w:tcW w:type="dxa" w:w="1440"/>
          </w:tcPr>
          <w:p>
            <w:r>
              <w:rPr>
                <w:rFonts w:ascii="Calibri" w:hAnsi="Calibri"/>
                <w:sz w:val="22"/>
              </w:rPr>
              <w:t>$1.021</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Service Organic Growth</w:t>
            </w:r>
          </w:p>
        </w:tc>
        <w:tc>
          <w:tcPr>
            <w:tcW w:type="dxa" w:w="1440"/>
          </w:tcPr>
          <w:p>
            <w:r>
              <w:rPr>
                <w:rFonts w:ascii="Calibri" w:hAnsi="Calibri"/>
                <w:sz w:val="22"/>
              </w:rPr>
              <w:t>4.0%</w:t>
            </w:r>
          </w:p>
        </w:tc>
        <w:tc>
          <w:tcPr>
            <w:tcW w:type="dxa" w:w="1440"/>
          </w:tcPr>
          <w:p>
            <w:r>
              <w:rPr>
                <w:rFonts w:ascii="Calibri" w:hAnsi="Calibri"/>
                <w:sz w:val="22"/>
              </w:rPr>
              <w:t>6.3%</w:t>
            </w:r>
          </w:p>
        </w:tc>
        <w:tc>
          <w:tcPr>
            <w:tcW w:type="dxa" w:w="1440"/>
          </w:tcPr>
          <w:p>
            <w:r>
              <w:rPr>
                <w:rFonts w:ascii="Calibri" w:hAnsi="Calibri"/>
                <w:b/>
                <w:color w:val="E5484D"/>
                <w:sz w:val="22"/>
              </w:rPr>
              <w:t>-230 bps</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$0.92</w:t>
            </w:r>
          </w:p>
        </w:tc>
        <w:tc>
          <w:tcPr>
            <w:tcW w:type="dxa" w:w="1440"/>
          </w:tcPr>
          <w:p>
            <w:r>
              <w:rPr>
                <w:rFonts w:ascii="Calibri" w:hAnsi="Calibri"/>
                <w:sz w:val="22"/>
              </w:rPr>
              <w:t>$0.905</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Service Organic Growth</w:t>
            </w:r>
          </w:p>
        </w:tc>
        <w:tc>
          <w:tcPr>
            <w:tcW w:type="dxa" w:w="1440"/>
          </w:tcPr>
          <w:p>
            <w:r>
              <w:rPr>
                <w:rFonts w:ascii="Calibri" w:hAnsi="Calibri"/>
                <w:sz w:val="22"/>
              </w:rPr>
              <w:t>4.0%</w:t>
            </w:r>
          </w:p>
        </w:tc>
        <w:tc>
          <w:tcPr>
            <w:tcW w:type="dxa" w:w="1440"/>
          </w:tcPr>
          <w:p>
            <w:r>
              <w:rPr>
                <w:rFonts w:ascii="Calibri" w:hAnsi="Calibri"/>
                <w:sz w:val="22"/>
              </w:rPr>
              <w:t>5.9%</w:t>
            </w:r>
          </w:p>
        </w:tc>
        <w:tc>
          <w:tcPr>
            <w:tcW w:type="dxa" w:w="1440"/>
          </w:tcPr>
          <w:p>
            <w:r>
              <w:rPr>
                <w:rFonts w:ascii="Calibri" w:hAnsi="Calibri"/>
                <w:b/>
                <w:color w:val="E5484D"/>
                <w:sz w:val="22"/>
              </w:rPr>
              <w:t>-190 bps</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$0.93</w:t>
            </w:r>
          </w:p>
        </w:tc>
        <w:tc>
          <w:tcPr>
            <w:tcW w:type="dxa" w:w="1440"/>
          </w:tcPr>
          <w:p>
            <w:r>
              <w:rPr>
                <w:rFonts w:ascii="Calibri" w:hAnsi="Calibri"/>
                <w:sz w:val="22"/>
              </w:rPr>
              <w:t>$0.959</w:t>
            </w:r>
          </w:p>
        </w:tc>
        <w:tc>
          <w:tcPr>
            <w:tcW w:type="dxa" w:w="1440"/>
          </w:tcPr>
          <w:p>
            <w:r>
              <w:rPr>
                <w:rFonts w:ascii="Calibri" w:hAnsi="Calibri"/>
                <w:b/>
                <w:color w:val="E5484D"/>
                <w:sz w:val="22"/>
              </w:rPr>
              <w:t>-3.0%</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Service Organic Growth</w:t>
            </w:r>
          </w:p>
        </w:tc>
        <w:tc>
          <w:tcPr>
            <w:tcW w:type="dxa" w:w="1440"/>
          </w:tcPr>
          <w:p>
            <w:r>
              <w:rPr>
                <w:rFonts w:ascii="Calibri" w:hAnsi="Calibri"/>
                <w:sz w:val="22"/>
              </w:rPr>
              <w:t>7.8%</w:t>
            </w:r>
          </w:p>
        </w:tc>
        <w:tc>
          <w:tcPr>
            <w:tcW w:type="dxa" w:w="1440"/>
          </w:tcPr>
          <w:p>
            <w:r>
              <w:rPr>
                <w:rFonts w:ascii="Calibri" w:hAnsi="Calibri"/>
                <w:sz w:val="22"/>
              </w:rPr>
              <w:t>7.5%</w:t>
            </w:r>
          </w:p>
        </w:tc>
        <w:tc>
          <w:tcPr>
            <w:tcW w:type="dxa" w:w="1440"/>
          </w:tcPr>
          <w:p>
            <w:r>
              <w:rPr>
                <w:rFonts w:ascii="Calibri" w:hAnsi="Calibri"/>
                <w:b/>
                <w:color w:val="30A46C"/>
                <w:sz w:val="22"/>
              </w:rPr>
              <w:t>+30 bps</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$0.96</w:t>
            </w:r>
          </w:p>
        </w:tc>
        <w:tc>
          <w:tcPr>
            <w:tcW w:type="dxa" w:w="1440"/>
          </w:tcPr>
          <w:p>
            <w:r>
              <w:rPr>
                <w:rFonts w:ascii="Calibri" w:hAnsi="Calibri"/>
                <w:sz w:val="22"/>
              </w:rPr>
              <w:t>$0.967</w:t>
            </w:r>
          </w:p>
        </w:tc>
        <w:tc>
          <w:tcPr>
            <w:tcW w:type="dxa" w:w="1440"/>
          </w:tcPr>
          <w:p>
            <w:r>
              <w:rPr>
                <w:rFonts w:ascii="Calibri" w:hAnsi="Calibri"/>
                <w:sz w:val="22"/>
              </w:rPr>
              <w:t>-0.7%</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Service Organic Growth</w:t>
            </w:r>
          </w:p>
        </w:tc>
        <w:tc>
          <w:tcPr>
            <w:tcW w:type="dxa" w:w="1440"/>
          </w:tcPr>
          <w:p>
            <w:r>
              <w:rPr>
                <w:rFonts w:ascii="Calibri" w:hAnsi="Calibri"/>
                <w:sz w:val="22"/>
              </w:rPr>
              <w:t>7.7%</w:t>
            </w:r>
          </w:p>
        </w:tc>
        <w:tc>
          <w:tcPr>
            <w:tcW w:type="dxa" w:w="1440"/>
          </w:tcPr>
          <w:p>
            <w:r>
              <w:rPr>
                <w:rFonts w:ascii="Calibri" w:hAnsi="Calibri"/>
                <w:sz w:val="22"/>
              </w:rPr>
              <w:t>6.6%</w:t>
            </w:r>
          </w:p>
        </w:tc>
        <w:tc>
          <w:tcPr>
            <w:tcW w:type="dxa" w:w="1440"/>
          </w:tcPr>
          <w:p>
            <w:r>
              <w:rPr>
                <w:rFonts w:ascii="Calibri" w:hAnsi="Calibri"/>
                <w:b/>
                <w:color w:val="30A46C"/>
                <w:sz w:val="22"/>
              </w:rPr>
              <w:t>+110 bps</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$1.06</w:t>
            </w:r>
          </w:p>
        </w:tc>
        <w:tc>
          <w:tcPr>
            <w:tcW w:type="dxa" w:w="1440"/>
          </w:tcPr>
          <w:p>
            <w:r>
              <w:rPr>
                <w:rFonts w:ascii="Calibri" w:hAnsi="Calibri"/>
                <w:sz w:val="22"/>
              </w:rPr>
              <w:t>$1.025</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Service Organic Growth</w:t>
            </w:r>
          </w:p>
        </w:tc>
        <w:tc>
          <w:tcPr>
            <w:tcW w:type="dxa" w:w="1440"/>
          </w:tcPr>
          <w:p>
            <w:r>
              <w:rPr>
                <w:rFonts w:ascii="Calibri" w:hAnsi="Calibri"/>
                <w:sz w:val="22"/>
              </w:rPr>
              <w:t>5.1%</w:t>
            </w:r>
          </w:p>
        </w:tc>
        <w:tc>
          <w:tcPr>
            <w:tcW w:type="dxa" w:w="1440"/>
          </w:tcPr>
          <w:p>
            <w:r>
              <w:rPr>
                <w:rFonts w:ascii="Calibri" w:hAnsi="Calibri"/>
                <w:sz w:val="22"/>
              </w:rPr>
              <w:t>6.5%</w:t>
            </w:r>
          </w:p>
        </w:tc>
        <w:tc>
          <w:tcPr>
            <w:tcW w:type="dxa" w:w="1440"/>
          </w:tcPr>
          <w:p>
            <w:r>
              <w:rPr>
                <w:rFonts w:ascii="Calibri" w:hAnsi="Calibri"/>
                <w:b/>
                <w:color w:val="E5484D"/>
                <w:sz w:val="22"/>
              </w:rPr>
              <w:t>-140 bps</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OTIS has a consistent track record of beating EPS consensus (5 of 8 quarters) but chronically missing service organic growth estimates (6 of 8 quarters), reflecting the Street’s persistent tendency to over-estimate service revenue acceleration — a pattern that makes the current consensus service organic growth estimate of ~5.9% a meaningful risk heading into Q2.</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changed since the Q1 2026 earnings call — no post-earnings 8-K, conference, or investor day has revised the numbers. </w:t>
      </w:r>
      <w:r>
        <w:rPr>
          <w:rFonts w:ascii="Calibri" w:hAnsi="Calibri"/>
          <w:b/>
          <w:color w:val="525866"/>
          <w:sz w:val="22"/>
        </w:rPr>
        <w:t>Tone is cautiously constructive</w:t>
      </w:r>
      <w:r>
        <w:rPr>
          <w:rFonts w:ascii="Calibri" w:hAnsi="Calibri"/>
          <w:color w:val="525866"/>
          <w:sz w:val="22"/>
        </w:rPr>
        <w:t>: management reaffirmed the full-year framework and provided a detailed quarterly recovery path for service margins, but the high end of EPS guidance was cut at Q1 and the bar for H2 execution remains high.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Sales</w:t>
            </w:r>
          </w:p>
        </w:tc>
        <w:tc>
          <w:tcPr>
            <w:tcW w:type="dxa" w:w="1728"/>
          </w:tcPr>
          <w:p>
            <w:r>
              <w:rPr>
                <w:rFonts w:ascii="Calibri" w:hAnsi="Calibri"/>
                <w:sz w:val="22"/>
              </w:rPr>
              <w:t>$15.1–15.3B</w:t>
            </w:r>
          </w:p>
        </w:tc>
        <w:tc>
          <w:tcPr>
            <w:tcW w:type="dxa" w:w="1728"/>
          </w:tcPr>
          <w:p>
            <w:r>
              <w:rPr>
                <w:rFonts w:ascii="Calibri" w:hAnsi="Calibri"/>
                <w:sz w:val="22"/>
              </w:rPr>
              <w:t>—</w:t>
            </w:r>
          </w:p>
        </w:tc>
        <w:tc>
          <w:tcPr>
            <w:tcW w:type="dxa" w:w="1728"/>
          </w:tcPr>
          <w:p>
            <w:r>
              <w:rPr>
                <w:rFonts w:ascii="Calibri" w:hAnsi="Calibri"/>
                <w:sz w:val="22"/>
              </w:rPr>
              <w:t>$15.12B</w:t>
            </w:r>
          </w:p>
        </w:tc>
        <w:tc>
          <w:tcPr>
            <w:tcW w:type="dxa" w:w="1728"/>
          </w:tcPr>
          <w:p>
            <w:r>
              <w:rPr>
                <w:rFonts w:ascii="Calibri" w:hAnsi="Calibri"/>
                <w:sz w:val="22"/>
              </w:rPr>
              <w:t>Unchanged; low end raised from prior guide; consensus at low end of range</w:t>
            </w:r>
          </w:p>
        </w:tc>
      </w:tr>
      <w:tr>
        <w:tc>
          <w:tcPr>
            <w:tcW w:type="dxa" w:w="1728"/>
          </w:tcPr>
          <w:p>
            <w:r>
              <w:rPr>
                <w:rFonts w:ascii="Calibri" w:hAnsi="Calibri"/>
                <w:sz w:val="22"/>
              </w:rPr>
              <w:t>FY 2026 Organic Sales Growth</w:t>
            </w:r>
          </w:p>
        </w:tc>
        <w:tc>
          <w:tcPr>
            <w:tcW w:type="dxa" w:w="1728"/>
          </w:tcPr>
          <w:p>
            <w:r>
              <w:rPr>
                <w:rFonts w:ascii="Calibri" w:hAnsi="Calibri"/>
                <w:sz w:val="22"/>
              </w:rPr>
              <w:t>Up low to mid-single digits</w:t>
            </w:r>
          </w:p>
        </w:tc>
        <w:tc>
          <w:tcPr>
            <w:tcW w:type="dxa" w:w="1728"/>
          </w:tcPr>
          <w:p>
            <w:r>
              <w:rPr>
                <w:rFonts w:ascii="Calibri" w:hAnsi="Calibri"/>
                <w:sz w:val="22"/>
              </w:rPr>
              <w:t>—</w:t>
            </w:r>
          </w:p>
        </w:tc>
        <w:tc>
          <w:tcPr>
            <w:tcW w:type="dxa" w:w="1728"/>
          </w:tcPr>
          <w:p>
            <w:r>
              <w:rPr>
                <w:rFonts w:ascii="Calibri" w:hAnsi="Calibri"/>
                <w:sz w:val="22"/>
              </w:rPr>
              <w:t>~6.1%</w:t>
            </w:r>
          </w:p>
        </w:tc>
        <w:tc>
          <w:tcPr>
            <w:tcW w:type="dxa" w:w="1728"/>
          </w:tcPr>
          <w:p>
            <w:r>
              <w:rPr>
                <w:rFonts w:ascii="Calibri" w:hAnsi="Calibri"/>
                <w:sz w:val="22"/>
              </w:rPr>
              <w:t>Unchanged; consensus at upper end of guidance range</w:t>
            </w:r>
          </w:p>
        </w:tc>
      </w:tr>
      <w:tr>
        <w:tc>
          <w:tcPr>
            <w:tcW w:type="dxa" w:w="1728"/>
          </w:tcPr>
          <w:p>
            <w:r>
              <w:rPr>
                <w:rFonts w:ascii="Calibri" w:hAnsi="Calibri"/>
                <w:sz w:val="22"/>
              </w:rPr>
              <w:t>FY 2026 Service Organic Growth</w:t>
            </w:r>
          </w:p>
        </w:tc>
        <w:tc>
          <w:tcPr>
            <w:tcW w:type="dxa" w:w="1728"/>
          </w:tcPr>
          <w:p>
            <w:r>
              <w:rPr>
                <w:rFonts w:ascii="Calibri" w:hAnsi="Calibri"/>
                <w:sz w:val="22"/>
              </w:rPr>
              <w:t>Mid-to-high single digits</w:t>
            </w:r>
          </w:p>
        </w:tc>
        <w:tc>
          <w:tcPr>
            <w:tcW w:type="dxa" w:w="1728"/>
          </w:tcPr>
          <w:p>
            <w:r>
              <w:rPr>
                <w:rFonts w:ascii="Calibri" w:hAnsi="Calibri"/>
                <w:sz w:val="22"/>
              </w:rPr>
              <w:t>—</w:t>
            </w:r>
          </w:p>
        </w:tc>
        <w:tc>
          <w:tcPr>
            <w:tcW w:type="dxa" w:w="1728"/>
          </w:tcPr>
          <w:p>
            <w:r>
              <w:rPr>
                <w:rFonts w:ascii="Calibri" w:hAnsi="Calibri"/>
                <w:sz w:val="22"/>
              </w:rPr>
              <w:t>~6.1%</w:t>
            </w:r>
          </w:p>
        </w:tc>
        <w:tc>
          <w:tcPr>
            <w:tcW w:type="dxa" w:w="1728"/>
          </w:tcPr>
          <w:p>
            <w:r>
              <w:rPr>
                <w:rFonts w:ascii="Calibri" w:hAnsi="Calibri"/>
                <w:sz w:val="22"/>
              </w:rPr>
              <w:t>Unchanged; 1–2 pts acceleration vs. 2025</w:t>
            </w:r>
          </w:p>
        </w:tc>
      </w:tr>
      <w:tr>
        <w:tc>
          <w:tcPr>
            <w:tcW w:type="dxa" w:w="1728"/>
          </w:tcPr>
          <w:p>
            <w:r>
              <w:rPr>
                <w:rFonts w:ascii="Calibri" w:hAnsi="Calibri"/>
                <w:sz w:val="22"/>
              </w:rPr>
              <w:t>FY 2026 New Equipment Organic Growth</w:t>
            </w:r>
          </w:p>
        </w:tc>
        <w:tc>
          <w:tcPr>
            <w:tcW w:type="dxa" w:w="1728"/>
          </w:tcPr>
          <w:p>
            <w:r>
              <w:rPr>
                <w:rFonts w:ascii="Calibri" w:hAnsi="Calibri"/>
                <w:sz w:val="22"/>
              </w:rPr>
              <w:t>Down low single digits to flat</w:t>
            </w:r>
          </w:p>
        </w:tc>
        <w:tc>
          <w:tcPr>
            <w:tcW w:type="dxa" w:w="1728"/>
          </w:tcPr>
          <w:p>
            <w:r>
              <w:rPr>
                <w:rFonts w:ascii="Calibri" w:hAnsi="Calibri"/>
                <w:sz w:val="22"/>
              </w:rPr>
              <w:t>—</w:t>
            </w:r>
          </w:p>
        </w:tc>
        <w:tc>
          <w:tcPr>
            <w:tcW w:type="dxa" w:w="1728"/>
          </w:tcPr>
          <w:p>
            <w:r>
              <w:rPr>
                <w:rFonts w:ascii="Calibri" w:hAnsi="Calibri"/>
                <w:sz w:val="22"/>
              </w:rPr>
              <w:t>~-1.3%</w:t>
            </w:r>
          </w:p>
        </w:tc>
        <w:tc>
          <w:tcPr>
            <w:tcW w:type="dxa" w:w="1728"/>
          </w:tcPr>
          <w:p>
            <w:r>
              <w:rPr>
                <w:rFonts w:ascii="Calibri" w:hAnsi="Calibri"/>
                <w:sz w:val="22"/>
              </w:rPr>
              <w:t>Unchanged; consensus in line with guidance</w:t>
            </w:r>
          </w:p>
        </w:tc>
      </w:tr>
      <w:tr>
        <w:tc>
          <w:tcPr>
            <w:tcW w:type="dxa" w:w="1728"/>
          </w:tcPr>
          <w:p>
            <w:r>
              <w:rPr>
                <w:rFonts w:ascii="Calibri" w:hAnsi="Calibri"/>
                <w:sz w:val="22"/>
              </w:rPr>
              <w:t>FY 2026 Adj. EPS</w:t>
            </w:r>
          </w:p>
        </w:tc>
        <w:tc>
          <w:tcPr>
            <w:tcW w:type="dxa" w:w="1728"/>
          </w:tcPr>
          <w:p>
            <w:r>
              <w:rPr>
                <w:rFonts w:ascii="Calibri" w:hAnsi="Calibri"/>
                <w:sz w:val="22"/>
              </w:rPr>
              <w:t>$4.20–$4.24 (narrowed; high end cut from prior $4.25+)</w:t>
            </w:r>
          </w:p>
        </w:tc>
        <w:tc>
          <w:tcPr>
            <w:tcW w:type="dxa" w:w="1728"/>
          </w:tcPr>
          <w:p>
            <w:r>
              <w:rPr>
                <w:rFonts w:ascii="Calibri" w:hAnsi="Calibri"/>
                <w:sz w:val="22"/>
              </w:rPr>
              <w:t>—</w:t>
            </w:r>
          </w:p>
        </w:tc>
        <w:tc>
          <w:tcPr>
            <w:tcW w:type="dxa" w:w="1728"/>
          </w:tcPr>
          <w:p>
            <w:r>
              <w:rPr>
                <w:rFonts w:ascii="Calibri" w:hAnsi="Calibri"/>
                <w:sz w:val="22"/>
              </w:rPr>
              <w:t>$4.20</w:t>
            </w:r>
          </w:p>
        </w:tc>
        <w:tc>
          <w:tcPr>
            <w:tcW w:type="dxa" w:w="1728"/>
          </w:tcPr>
          <w:p>
            <w:r>
              <w:rPr>
                <w:rFonts w:ascii="Calibri" w:hAnsi="Calibri"/>
                <w:sz w:val="22"/>
              </w:rPr>
              <w:t>↓ High end cut at Q1 earnings; consensus at low end of range; mid-single-digit growth vs. 2025</w:t>
            </w:r>
          </w:p>
        </w:tc>
      </w:tr>
      <w:tr>
        <w:tc>
          <w:tcPr>
            <w:tcW w:type="dxa" w:w="1728"/>
          </w:tcPr>
          <w:p>
            <w:r>
              <w:rPr>
                <w:rFonts w:ascii="Calibri" w:hAnsi="Calibri"/>
                <w:sz w:val="22"/>
              </w:rPr>
              <w:t>FY 2026 Adj. Free Cash Flow</w:t>
            </w:r>
          </w:p>
        </w:tc>
        <w:tc>
          <w:tcPr>
            <w:tcW w:type="dxa" w:w="1728"/>
          </w:tcPr>
          <w:p>
            <w:r>
              <w:rPr>
                <w:rFonts w:ascii="Calibri" w:hAnsi="Calibri"/>
                <w:sz w:val="22"/>
              </w:rPr>
              <w:t>$1.60–$1.65B</w:t>
            </w:r>
          </w:p>
        </w:tc>
        <w:tc>
          <w:tcPr>
            <w:tcW w:type="dxa" w:w="1728"/>
          </w:tcPr>
          <w:p>
            <w:r>
              <w:rPr>
                <w:rFonts w:ascii="Calibri" w:hAnsi="Calibri"/>
                <w:sz w:val="22"/>
              </w:rPr>
              <w:t>—</w:t>
            </w:r>
          </w:p>
        </w:tc>
        <w:tc>
          <w:tcPr>
            <w:tcW w:type="dxa" w:w="1728"/>
          </w:tcPr>
          <w:p>
            <w:r>
              <w:rPr>
                <w:rFonts w:ascii="Calibri" w:hAnsi="Calibri"/>
                <w:sz w:val="22"/>
              </w:rPr>
              <w:t>$1.61B</w:t>
            </w:r>
          </w:p>
        </w:tc>
        <w:tc>
          <w:tcPr>
            <w:tcW w:type="dxa" w:w="1728"/>
          </w:tcPr>
          <w:p>
            <w:r>
              <w:rPr>
                <w:rFonts w:ascii="Calibri" w:hAnsi="Calibri"/>
                <w:sz w:val="22"/>
              </w:rPr>
              <w:t>Unchanged; high end tightened slightly at Q1; consensus in line</w:t>
            </w:r>
          </w:p>
        </w:tc>
      </w:tr>
      <w:tr>
        <w:tc>
          <w:tcPr>
            <w:tcW w:type="dxa" w:w="1728"/>
          </w:tcPr>
          <w:p>
            <w:r>
              <w:rPr>
                <w:rFonts w:ascii="Calibri" w:hAnsi="Calibri"/>
                <w:sz w:val="22"/>
              </w:rPr>
              <w:t>Q2 2026 Adj. EPS</w:t>
            </w:r>
          </w:p>
        </w:tc>
        <w:tc>
          <w:tcPr>
            <w:tcW w:type="dxa" w:w="1728"/>
          </w:tcPr>
          <w:p>
            <w:r>
              <w:rPr>
                <w:rFonts w:ascii="Calibri" w:hAnsi="Calibri"/>
                <w:sz w:val="22"/>
              </w:rPr>
              <w:t>Down 3–5% YoY (vs. $1.05 in Q2 2025)</w:t>
            </w:r>
          </w:p>
        </w:tc>
        <w:tc>
          <w:tcPr>
            <w:tcW w:type="dxa" w:w="1728"/>
          </w:tcPr>
          <w:p>
            <w:r>
              <w:rPr>
                <w:rFonts w:ascii="Calibri" w:hAnsi="Calibri"/>
                <w:sz w:val="22"/>
              </w:rPr>
              <w:t>—</w:t>
            </w:r>
          </w:p>
        </w:tc>
        <w:tc>
          <w:tcPr>
            <w:tcW w:type="dxa" w:w="1728"/>
          </w:tcPr>
          <w:p>
            <w:r>
              <w:rPr>
                <w:rFonts w:ascii="Calibri" w:hAnsi="Calibri"/>
                <w:sz w:val="22"/>
              </w:rPr>
              <w:t>$1.03</w:t>
            </w:r>
          </w:p>
        </w:tc>
        <w:tc>
          <w:tcPr>
            <w:tcW w:type="dxa" w:w="1728"/>
          </w:tcPr>
          <w:p>
            <w:r>
              <w:rPr>
                <w:rFonts w:ascii="Calibri" w:hAnsi="Calibri"/>
                <w:sz w:val="22"/>
              </w:rPr>
              <w:t>Consensus at ~$1.00–1.02 implied range; slightly above midpoint</w:t>
            </w:r>
          </w:p>
        </w:tc>
      </w:tr>
      <w:tr>
        <w:tc>
          <w:tcPr>
            <w:tcW w:type="dxa" w:w="1728"/>
          </w:tcPr>
          <w:p>
            <w:r>
              <w:rPr>
                <w:rFonts w:ascii="Calibri" w:hAnsi="Calibri"/>
                <w:sz w:val="22"/>
              </w:rPr>
              <w:t>Q2 2026 Service Margin</w:t>
            </w:r>
          </w:p>
        </w:tc>
        <w:tc>
          <w:tcPr>
            <w:tcW w:type="dxa" w:w="1728"/>
          </w:tcPr>
          <w:p>
            <w:r>
              <w:rPr>
                <w:rFonts w:ascii="Calibri" w:hAnsi="Calibri"/>
                <w:sz w:val="22"/>
              </w:rPr>
              <w:t>~24% (sequential improvement from Q1’s 23.0%)</w:t>
            </w:r>
          </w:p>
        </w:tc>
        <w:tc>
          <w:tcPr>
            <w:tcW w:type="dxa" w:w="1728"/>
          </w:tcPr>
          <w:p>
            <w:r>
              <w:rPr>
                <w:rFonts w:ascii="Calibri" w:hAnsi="Calibri"/>
                <w:sz w:val="22"/>
              </w:rPr>
              <w:t>—</w:t>
            </w:r>
          </w:p>
        </w:tc>
        <w:tc>
          <w:tcPr>
            <w:tcW w:type="dxa" w:w="1728"/>
          </w:tcPr>
          <w:p>
            <w:r>
              <w:rPr>
                <w:rFonts w:ascii="Calibri" w:hAnsi="Calibri"/>
                <w:sz w:val="22"/>
              </w:rPr>
              <w:t>24.3%</w:t>
            </w:r>
          </w:p>
        </w:tc>
        <w:tc>
          <w:tcPr>
            <w:tcW w:type="dxa" w:w="1728"/>
          </w:tcPr>
          <w:p>
            <w:r>
              <w:rPr>
                <w:rFonts w:ascii="Calibri" w:hAnsi="Calibri"/>
                <w:sz w:val="22"/>
              </w:rPr>
              <w:t>Consensus slightly above guidance; key swing factor for the print</w:t>
            </w:r>
          </w:p>
        </w:tc>
      </w:tr>
      <w:tr>
        <w:tc>
          <w:tcPr>
            <w:tcW w:type="dxa" w:w="1728"/>
          </w:tcPr>
          <w:p>
            <w:r>
              <w:rPr>
                <w:rFonts w:ascii="Calibri" w:hAnsi="Calibri"/>
                <w:sz w:val="22"/>
              </w:rPr>
              <w:t>Middle East Conflict Assumption</w:t>
            </w:r>
          </w:p>
        </w:tc>
        <w:tc>
          <w:tcPr>
            <w:tcW w:type="dxa" w:w="1728"/>
          </w:tcPr>
          <w:p>
            <w:r>
              <w:rPr>
                <w:rFonts w:ascii="Calibri" w:hAnsi="Calibri"/>
                <w:sz w:val="22"/>
              </w:rPr>
              <w:t>Assumes conflict ends in Q2; $5–10M/qtr headwind if it continues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risk: if conflict persists into Q3, guidance may need revision</w:t>
            </w:r>
          </w:p>
        </w:tc>
      </w:tr>
      <w:tr>
        <w:tc>
          <w:tcPr>
            <w:tcW w:type="dxa" w:w="1728"/>
          </w:tcPr>
          <w:p>
            <w:r>
              <w:rPr>
                <w:rFonts w:ascii="Calibri" w:hAnsi="Calibri"/>
                <w:sz w:val="22"/>
              </w:rPr>
              <w:t>FY 2026 Adj. Operating Profit</w:t>
            </w:r>
          </w:p>
        </w:tc>
        <w:tc>
          <w:tcPr>
            <w:tcW w:type="dxa" w:w="1728"/>
          </w:tcPr>
          <w:p>
            <w:r>
              <w:rPr>
                <w:rFonts w:ascii="Calibri" w:hAnsi="Calibri"/>
                <w:sz w:val="22"/>
              </w:rPr>
              <w:t>~$2.5B; up $20–60M at constant currency</w:t>
            </w:r>
          </w:p>
        </w:tc>
        <w:tc>
          <w:tcPr>
            <w:tcW w:type="dxa" w:w="1728"/>
          </w:tcPr>
          <w:p>
            <w:r>
              <w:rPr>
                <w:rFonts w:ascii="Calibri" w:hAnsi="Calibri"/>
                <w:sz w:val="22"/>
              </w:rPr>
              <w:t>—</w:t>
            </w:r>
          </w:p>
        </w:tc>
        <w:tc>
          <w:tcPr>
            <w:tcW w:type="dxa" w:w="1728"/>
          </w:tcPr>
          <w:p>
            <w:r>
              <w:rPr>
                <w:rFonts w:ascii="Calibri" w:hAnsi="Calibri"/>
                <w:sz w:val="22"/>
              </w:rPr>
              <w:t>N/A (FY)</w:t>
            </w:r>
          </w:p>
        </w:tc>
        <w:tc>
          <w:tcPr>
            <w:tcW w:type="dxa" w:w="1728"/>
          </w:tcPr>
          <w:p>
            <w:r>
              <w:rPr>
                <w:rFonts w:ascii="Calibri" w:hAnsi="Calibri"/>
                <w:sz w:val="22"/>
              </w:rPr>
              <w:t>Unchanged; tariffs now a modest tailwind (+$10M vs. original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largely stable since the Q1 print, with Q2 EPS ticking up modestly from $1.01 to $1.03 — suggesting the Street has absorbed the guided step-down without further deterioration. </w:t>
      </w:r>
      <w:r>
        <w:rPr>
          <w:rFonts w:ascii="Calibri" w:hAnsi="Calibri"/>
          <w:b/>
          <w:color w:val="525866"/>
          <w:sz w:val="22"/>
        </w:rPr>
        <w:t>FY 2026 EPS consensus at $4.20 sits at the low end of guidance</w:t>
      </w:r>
      <w:r>
        <w:rPr>
          <w:rFonts w:ascii="Calibri" w:hAnsi="Calibri"/>
          <w:color w:val="525866"/>
          <w:sz w:val="22"/>
        </w:rPr>
        <w:t>, implying the market is not yet giving management credit for the H2 recovery story; any evidence of service margin inflection in Q2 could be a meaningful positive catalyst for estimate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27,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$1.011</w:t>
            </w:r>
          </w:p>
        </w:tc>
        <w:tc>
          <w:tcPr>
            <w:tcW w:type="dxa" w:w="1080"/>
          </w:tcPr>
          <w:p>
            <w:r>
              <w:rPr>
                <w:rFonts w:ascii="Calibri" w:hAnsi="Calibri"/>
                <w:sz w:val="22"/>
              </w:rPr>
              <w:t>$1.033</w:t>
            </w:r>
          </w:p>
        </w:tc>
        <w:tc>
          <w:tcPr>
            <w:tcW w:type="dxa" w:w="1080"/>
          </w:tcPr>
          <w:p>
            <w:r>
              <w:rPr>
                <w:rFonts w:ascii="Calibri" w:hAnsi="Calibri"/>
                <w:b/>
                <w:color w:val="30A46C"/>
                <w:sz w:val="22"/>
              </w:rPr>
              <w:t>+2.2%</w:t>
            </w:r>
          </w:p>
        </w:tc>
        <w:tc>
          <w:tcPr>
            <w:tcW w:type="dxa" w:w="1080"/>
          </w:tcPr>
          <w:p>
            <w:r>
              <w:rPr>
                <w:rFonts w:ascii="Calibri" w:hAnsi="Calibri"/>
                <w:sz w:val="22"/>
              </w:rPr>
              <w:t>Down 3–5% YoY (~$1.00–1.02)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midpoint</w:t>
            </w:r>
          </w:p>
        </w:tc>
      </w:tr>
      <w:tr>
        <w:tc>
          <w:tcPr>
            <w:tcW w:type="dxa" w:w="1080"/>
          </w:tcPr>
          <w:p>
            <w:r>
              <w:rPr>
                <w:rFonts w:ascii="Calibri" w:hAnsi="Calibri"/>
                <w:sz w:val="22"/>
              </w:rPr>
              <w:t>Adj. EPS — FY 2026</w:t>
            </w:r>
          </w:p>
        </w:tc>
        <w:tc>
          <w:tcPr>
            <w:tcW w:type="dxa" w:w="1080"/>
          </w:tcPr>
          <w:p>
            <w:r>
              <w:rPr>
                <w:rFonts w:ascii="Calibri" w:hAnsi="Calibri"/>
                <w:sz w:val="22"/>
              </w:rPr>
              <w:t>$4.172</w:t>
            </w:r>
          </w:p>
        </w:tc>
        <w:tc>
          <w:tcPr>
            <w:tcW w:type="dxa" w:w="1080"/>
          </w:tcPr>
          <w:p>
            <w:r>
              <w:rPr>
                <w:rFonts w:ascii="Calibri" w:hAnsi="Calibri"/>
                <w:sz w:val="22"/>
              </w:rPr>
              <w:t>$4.195</w:t>
            </w:r>
          </w:p>
        </w:tc>
        <w:tc>
          <w:tcPr>
            <w:tcW w:type="dxa" w:w="1080"/>
          </w:tcPr>
          <w:p>
            <w:r>
              <w:rPr>
                <w:rFonts w:ascii="Calibri" w:hAnsi="Calibri"/>
                <w:b/>
                <w:color w:val="30A46C"/>
                <w:sz w:val="22"/>
              </w:rPr>
              <w:t>+0.6%</w:t>
            </w:r>
          </w:p>
        </w:tc>
        <w:tc>
          <w:tcPr>
            <w:tcW w:type="dxa" w:w="1080"/>
          </w:tcPr>
          <w:p>
            <w:r>
              <w:rPr>
                <w:rFonts w:ascii="Calibri" w:hAnsi="Calibri"/>
                <w:sz w:val="22"/>
              </w:rPr>
              <w:t>$4.20–$4.24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Net Sales — Q2 2026</w:t>
            </w:r>
          </w:p>
        </w:tc>
        <w:tc>
          <w:tcPr>
            <w:tcW w:type="dxa" w:w="1080"/>
          </w:tcPr>
          <w:p>
            <w:r>
              <w:rPr>
                <w:rFonts w:ascii="Calibri" w:hAnsi="Calibri"/>
                <w:sz w:val="22"/>
              </w:rPr>
              <w:t>$3.744B</w:t>
            </w:r>
          </w:p>
        </w:tc>
        <w:tc>
          <w:tcPr>
            <w:tcW w:type="dxa" w:w="1080"/>
          </w:tcPr>
          <w:p>
            <w:r>
              <w:rPr>
                <w:rFonts w:ascii="Calibri" w:hAnsi="Calibri"/>
                <w:sz w:val="22"/>
              </w:rPr>
              <w:t>$3.742B</w:t>
            </w:r>
          </w:p>
        </w:tc>
        <w:tc>
          <w:tcPr>
            <w:tcW w:type="dxa" w:w="1080"/>
          </w:tcPr>
          <w:p>
            <w:r>
              <w:rPr>
                <w:rFonts w:ascii="Calibri" w:hAnsi="Calibri"/>
                <w:sz w:val="22"/>
              </w:rPr>
              <w:t>-0.1%</w:t>
            </w:r>
          </w:p>
        </w:tc>
        <w:tc>
          <w:tcPr>
            <w:tcW w:type="dxa" w:w="1080"/>
          </w:tcPr>
          <w:p>
            <w:r>
              <w:rPr>
                <w:rFonts w:ascii="Calibri" w:hAnsi="Calibri"/>
                <w:sz w:val="22"/>
              </w:rPr>
              <w:t>$15.1–15.3B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FY run-rate</w:t>
            </w:r>
          </w:p>
        </w:tc>
      </w:tr>
      <w:tr>
        <w:tc>
          <w:tcPr>
            <w:tcW w:type="dxa" w:w="1080"/>
          </w:tcPr>
          <w:p>
            <w:r>
              <w:rPr>
                <w:rFonts w:ascii="Calibri" w:hAnsi="Calibri"/>
                <w:sz w:val="22"/>
              </w:rPr>
              <w:t>Net Sales — FY 2026</w:t>
            </w:r>
          </w:p>
        </w:tc>
        <w:tc>
          <w:tcPr>
            <w:tcW w:type="dxa" w:w="1080"/>
          </w:tcPr>
          <w:p>
            <w:r>
              <w:rPr>
                <w:rFonts w:ascii="Calibri" w:hAnsi="Calibri"/>
                <w:sz w:val="22"/>
              </w:rPr>
              <w:t>$15.142B</w:t>
            </w:r>
          </w:p>
        </w:tc>
        <w:tc>
          <w:tcPr>
            <w:tcW w:type="dxa" w:w="1080"/>
          </w:tcPr>
          <w:p>
            <w:r>
              <w:rPr>
                <w:rFonts w:ascii="Calibri" w:hAnsi="Calibri"/>
                <w:sz w:val="22"/>
              </w:rPr>
              <w:t>$15.122B</w:t>
            </w:r>
          </w:p>
        </w:tc>
        <w:tc>
          <w:tcPr>
            <w:tcW w:type="dxa" w:w="1080"/>
          </w:tcPr>
          <w:p>
            <w:r>
              <w:rPr>
                <w:rFonts w:ascii="Calibri" w:hAnsi="Calibri"/>
                <w:sz w:val="22"/>
              </w:rPr>
              <w:t>-0.1%</w:t>
            </w:r>
          </w:p>
        </w:tc>
        <w:tc>
          <w:tcPr>
            <w:tcW w:type="dxa" w:w="1080"/>
          </w:tcPr>
          <w:p>
            <w:r>
              <w:rPr>
                <w:rFonts w:ascii="Calibri" w:hAnsi="Calibri"/>
                <w:sz w:val="22"/>
              </w:rPr>
              <w:t>$15.1–15.3B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Service Sales — Q2 2026</w:t>
            </w:r>
          </w:p>
        </w:tc>
        <w:tc>
          <w:tcPr>
            <w:tcW w:type="dxa" w:w="1080"/>
          </w:tcPr>
          <w:p>
            <w:r>
              <w:rPr>
                <w:rFonts w:ascii="Calibri" w:hAnsi="Calibri"/>
                <w:sz w:val="22"/>
              </w:rPr>
              <w:t>$2.491B</w:t>
            </w:r>
          </w:p>
        </w:tc>
        <w:tc>
          <w:tcPr>
            <w:tcW w:type="dxa" w:w="1080"/>
          </w:tcPr>
          <w:p>
            <w:r>
              <w:rPr>
                <w:rFonts w:ascii="Calibri" w:hAnsi="Calibri"/>
                <w:sz w:val="22"/>
              </w:rPr>
              <w:t>$2.482B</w:t>
            </w:r>
          </w:p>
        </w:tc>
        <w:tc>
          <w:tcPr>
            <w:tcW w:type="dxa" w:w="1080"/>
          </w:tcPr>
          <w:p>
            <w:r>
              <w:rPr>
                <w:rFonts w:ascii="Calibri" w:hAnsi="Calibri"/>
                <w:sz w:val="22"/>
              </w:rPr>
              <w:t>-0.4%</w:t>
            </w:r>
          </w:p>
        </w:tc>
        <w:tc>
          <w:tcPr>
            <w:tcW w:type="dxa" w:w="1080"/>
          </w:tcPr>
          <w:p>
            <w:r>
              <w:rPr>
                <w:rFonts w:ascii="Calibri" w:hAnsi="Calibri"/>
                <w:sz w:val="22"/>
              </w:rPr>
              <w:t>Mid-to-high single-digit organic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Service Margin — Q2 2026</w:t>
            </w:r>
          </w:p>
        </w:tc>
        <w:tc>
          <w:tcPr>
            <w:tcW w:type="dxa" w:w="1080"/>
          </w:tcPr>
          <w:p>
            <w:r>
              <w:rPr>
                <w:rFonts w:ascii="Calibri" w:hAnsi="Calibri"/>
                <w:sz w:val="22"/>
              </w:rPr>
              <w:t>24.0%</w:t>
            </w:r>
          </w:p>
        </w:tc>
        <w:tc>
          <w:tcPr>
            <w:tcW w:type="dxa" w:w="1080"/>
          </w:tcPr>
          <w:p>
            <w:r>
              <w:rPr>
                <w:rFonts w:ascii="Calibri" w:hAnsi="Calibri"/>
                <w:sz w:val="22"/>
              </w:rPr>
              <w:t>24.3%</w:t>
            </w:r>
          </w:p>
        </w:tc>
        <w:tc>
          <w:tcPr>
            <w:tcW w:type="dxa" w:w="1080"/>
          </w:tcPr>
          <w:p>
            <w:r>
              <w:rPr>
                <w:rFonts w:ascii="Calibri" w:hAnsi="Calibri"/>
                <w:b/>
                <w:color w:val="30A46C"/>
                <w:sz w:val="22"/>
              </w:rPr>
              <w:t>+30 bps</w:t>
            </w:r>
          </w:p>
        </w:tc>
        <w:tc>
          <w:tcPr>
            <w:tcW w:type="dxa" w:w="1080"/>
          </w:tcPr>
          <w:p>
            <w:r>
              <w:rPr>
                <w:rFonts w:ascii="Calibri" w:hAnsi="Calibri"/>
                <w:sz w:val="22"/>
              </w:rPr>
              <w:t>~24%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bps above guidance</w:t>
            </w:r>
          </w:p>
        </w:tc>
      </w:tr>
      <w:tr>
        <w:tc>
          <w:tcPr>
            <w:tcW w:type="dxa" w:w="1080"/>
          </w:tcPr>
          <w:p>
            <w:r>
              <w:rPr>
                <w:rFonts w:ascii="Calibri" w:hAnsi="Calibri"/>
                <w:sz w:val="22"/>
              </w:rPr>
              <w:t>Service Organic Growth — Q2 2026</w:t>
            </w:r>
          </w:p>
        </w:tc>
        <w:tc>
          <w:tcPr>
            <w:tcW w:type="dxa" w:w="1080"/>
          </w:tcPr>
          <w:p>
            <w:r>
              <w:rPr>
                <w:rFonts w:ascii="Calibri" w:hAnsi="Calibri"/>
                <w:sz w:val="22"/>
              </w:rPr>
              <w:t>5.9%</w:t>
            </w:r>
          </w:p>
        </w:tc>
        <w:tc>
          <w:tcPr>
            <w:tcW w:type="dxa" w:w="1080"/>
          </w:tcPr>
          <w:p>
            <w:r>
              <w:rPr>
                <w:rFonts w:ascii="Calibri" w:hAnsi="Calibri"/>
                <w:sz w:val="22"/>
              </w:rPr>
              <w:t>5.9%</w:t>
            </w:r>
          </w:p>
        </w:tc>
        <w:tc>
          <w:tcPr>
            <w:tcW w:type="dxa" w:w="1080"/>
          </w:tcPr>
          <w:p>
            <w:r>
              <w:rPr>
                <w:rFonts w:ascii="Calibri" w:hAnsi="Calibri"/>
                <w:sz w:val="22"/>
              </w:rPr>
              <w:t>Flat</w:t>
            </w:r>
          </w:p>
        </w:tc>
        <w:tc>
          <w:tcPr>
            <w:tcW w:type="dxa" w:w="1080"/>
          </w:tcPr>
          <w:p>
            <w:r>
              <w:rPr>
                <w:rFonts w:ascii="Calibri" w:hAnsi="Calibri"/>
                <w:sz w:val="22"/>
              </w:rPr>
              <w:t>Mid-to-high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New Equipment Organic Growth — Q2 2026</w:t>
            </w:r>
          </w:p>
        </w:tc>
        <w:tc>
          <w:tcPr>
            <w:tcW w:type="dxa" w:w="1080"/>
          </w:tcPr>
          <w:p>
            <w:r>
              <w:rPr>
                <w:rFonts w:ascii="Calibri" w:hAnsi="Calibri"/>
                <w:sz w:val="22"/>
              </w:rPr>
              <w:t>-2.8%</w:t>
            </w:r>
          </w:p>
        </w:tc>
        <w:tc>
          <w:tcPr>
            <w:tcW w:type="dxa" w:w="1080"/>
          </w:tcPr>
          <w:p>
            <w:r>
              <w:rPr>
                <w:rFonts w:ascii="Calibri" w:hAnsi="Calibri"/>
                <w:sz w:val="22"/>
              </w:rPr>
              <w:t>-1.9%</w:t>
            </w:r>
          </w:p>
        </w:tc>
        <w:tc>
          <w:tcPr>
            <w:tcW w:type="dxa" w:w="1080"/>
          </w:tcPr>
          <w:p>
            <w:r>
              <w:rPr>
                <w:rFonts w:ascii="Calibri" w:hAnsi="Calibri"/>
                <w:b/>
                <w:color w:val="30A46C"/>
                <w:sz w:val="22"/>
              </w:rPr>
              <w:t>+90 bps</w:t>
            </w:r>
          </w:p>
        </w:tc>
        <w:tc>
          <w:tcPr>
            <w:tcW w:type="dxa" w:w="1080"/>
          </w:tcPr>
          <w:p>
            <w:r>
              <w:rPr>
                <w:rFonts w:ascii="Calibri" w:hAnsi="Calibri"/>
                <w:sz w:val="22"/>
              </w:rPr>
              <w:t>Down low single digits to flat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Source: Visible Alpha Consensus and Actuals Data. Post-Q1 baseline as of April 27, 2026 (5 trading days after April 22, 2026 earnings). Current consensus as of July 21, 2026.</w:t>
      </w:r>
    </w:p>
    <w:p>
      <w:r>
        <w:rPr>
          <w:rFonts w:ascii="Calibri" w:hAnsi="Calibri"/>
          <w:color w:val="525866"/>
          <w:sz w:val="22"/>
        </w:rPr>
        <w:t>Estimates have been remarkably stable since the Q1 print, with EPS ticking up modestly (+2.2% for Q2, +0.6% for FY) as the Street absorbed the guided step-down without further cuts. The FY 2026 EPS consensus at $4.20 sits at the low end of the $4.20–$4.24 guidance range, suggesting the market is pricing in minimal H2 recovery cushion — any evidence of service margin inflection in Q2 could be a meaningful positive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OTIS has significantly underperformed since Q1 earnings, driven by multiple compression rather than estimate cuts — the stock is down ~7.6% vs. XLI +4.5% and SPY +5.2%, reflecting sentiment deterioration and macro-driven industrial rotation away from service-heavy names with near-term margin headwinds.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OTIS vs. XLI (Industrials ETF) vs. S&amp;P 500 — Indexed to 100 at Q1 2026 Earnings (April 22, 2026). Source: Yahoo Finance.</w:t>
      </w:r>
    </w:p>
    <w:p>
      <w:r>
        <w:rPr>
          <w:rFonts w:ascii="Calibri" w:hAnsi="Calibri"/>
          <w:color w:val="525866"/>
          <w:sz w:val="22"/>
        </w:rPr>
        <w:t xml:space="preserve">Since the Q1 2026 earnings print on April 22, 2026, OTIS has declined from $77.88 to $71.95 (as of July 21, 2026), a loss of approximately </w:t>
      </w:r>
      <w:r>
        <w:rPr>
          <w:rFonts w:ascii="Calibri" w:hAnsi="Calibri"/>
          <w:b/>
          <w:color w:val="525866"/>
          <w:sz w:val="22"/>
        </w:rPr>
        <w:t>-7.6%</w:t>
      </w:r>
      <w:r>
        <w:rPr>
          <w:rFonts w:ascii="Calibri" w:hAnsi="Calibri"/>
          <w:color w:val="525866"/>
          <w:sz w:val="22"/>
        </w:rPr>
        <w:t xml:space="preserve"> on an absolute basis. Over the same period, the XLI Industrials ETF gained +4.5% and the S&amp;P 500 (SPY) gained +5.2%, resulting in a cumulative underperformance of approximately </w:t>
      </w:r>
      <w:r>
        <w:rPr>
          <w:rFonts w:ascii="Calibri" w:hAnsi="Calibri"/>
          <w:b/>
          <w:color w:val="525866"/>
          <w:sz w:val="22"/>
        </w:rPr>
        <w:t>~12–13 percentage points vs. both benchmarks</w:t>
      </w:r>
      <w:r>
        <w:rPr>
          <w:rFonts w:ascii="Calibri" w:hAnsi="Calibri"/>
          <w:color w:val="525866"/>
          <w:sz w:val="22"/>
        </w:rPr>
        <w:t>. The underperformance is not driven by estimate cuts — FY 2026 EPS consensus has barely moved since the Q1 print — but rather by multiple compression and sentiment deterioration as investors rotated toward higher-growth industrials (data center HVAC, automation) and away from service-heavy names with near-term margin headwinds. The stock’s forward P/E in the low-20s sits below its historical average and well below the peer group, suggesting the market is pricing in continued execution risk rather than the H2 recovery management has guided. The May 7 debt issuance ($700M in 4.488% notes due 2029) was a minor event with no material stock impact. The stock’s current valuation represents an attractive entry point if Q2 service margins confirm the sequential recovery trajectory.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ongoing Middle East conflict, which management assumed would end in Q2 — if it has not, the company faces a $5–10M per quarter profit headwind that could pressure Q2 results and force a guidance revision for H2.</w:t>
      </w:r>
    </w:p>
    <w:p>
      <w:pPr>
        <w:pStyle w:val="ListBullet"/>
        <w:ind w:left="360" w:hanging="360"/>
      </w:pPr>
      <w:r>
        <w:rPr>
          <w:rFonts w:ascii="Calibri" w:hAnsi="Calibri"/>
          <w:b/>
          <w:color w:val="525866"/>
          <w:sz w:val="22"/>
        </w:rPr>
        <w:t>May 7, 2026 — Debt Issuance: $700M in 4.488% Notes Due 2029.</w:t>
      </w:r>
      <w:r>
        <w:rPr>
          <w:rFonts w:ascii="Calibri" w:hAnsi="Calibri"/>
          <w:color w:val="525866"/>
          <w:sz w:val="22"/>
        </w:rPr>
        <w:t xml:space="preserve"> Otis issued $700M in senior unsecured notes at 4.488%, maturing 2029. Implication: Signals proactive balance sheet management and liquidity optimization; proceeds likely used for general corporate purposes including share repurchases (company front-loaded $400M of buybacks in Q1 and targets $800M for the full year). Modest interest cost increase but manageable given strong FCF generation.</w:t>
      </w:r>
    </w:p>
    <w:p>
      <w:pPr>
        <w:pStyle w:val="ListBullet"/>
        <w:ind w:left="360" w:hanging="360"/>
      </w:pPr>
      <w:r>
        <w:rPr>
          <w:rFonts w:ascii="Calibri" w:hAnsi="Calibri"/>
          <w:b/>
          <w:color w:val="525866"/>
          <w:sz w:val="22"/>
        </w:rPr>
        <w:t>April 22, 2026 — Q1 2026 Earnings: EPS Miss, Revenue Beat, Guidance Narrowed.</w:t>
      </w:r>
      <w:r>
        <w:rPr>
          <w:rFonts w:ascii="Calibri" w:hAnsi="Calibri"/>
          <w:color w:val="525866"/>
          <w:sz w:val="22"/>
        </w:rPr>
        <w:t xml:space="preserve"> Adjusted EPS of $0.89 missed consensus of ~$0.91; revenue of $3.566B beat modestly. Full-year EPS guidance narrowed to $4.20–$4.24 (high end cut). Service margin contracted 160 bps to 23.0% — materially worse than the original 30 bps contraction assumption. Q2 EPS guided down 3–5% YoY. Implication: The Q1 print confirmed the pre-announced H1 headwind but the service margin miss was worse than expected, raising the bar for H2 recovery.</w:t>
      </w:r>
    </w:p>
    <w:p>
      <w:pPr>
        <w:pStyle w:val="ListBullet"/>
        <w:ind w:left="360" w:hanging="360"/>
      </w:pPr>
      <w:r>
        <w:rPr>
          <w:rFonts w:ascii="Calibri" w:hAnsi="Calibri"/>
          <w:b/>
          <w:color w:val="525866"/>
          <w:sz w:val="22"/>
        </w:rPr>
        <w:t>April 22, 2026 — WeMaintain Majority Investment Announced.</w:t>
      </w:r>
      <w:r>
        <w:rPr>
          <w:rFonts w:ascii="Calibri" w:hAnsi="Calibri"/>
          <w:color w:val="525866"/>
          <w:sz w:val="22"/>
        </w:rPr>
        <w:t xml:space="preserve"> Otis announced a majority investment in WeMaintain, a digitally native AI-enabled elevator service provider operating in 4+ countries. WeMaintain will be operated independently and integrates machine learning and AI for multi-brand portfolio servicing. Implication: Strategically important for ISP (independent service provider) competitive dynamics; positions Otis to capture multi-brand maintenance portfolios and expand addressable market beyond its own installed base.</w:t>
      </w:r>
    </w:p>
    <w:p>
      <w:pPr>
        <w:pStyle w:val="ListBullet"/>
        <w:ind w:left="360" w:hanging="360"/>
      </w:pPr>
      <w:r>
        <w:rPr>
          <w:rFonts w:ascii="Calibri" w:hAnsi="Calibri"/>
          <w:b/>
          <w:color w:val="525866"/>
          <w:sz w:val="22"/>
        </w:rPr>
        <w:t>April 22, 2026 — 5% Quarterly Dividend Increase.</w:t>
      </w:r>
      <w:r>
        <w:rPr>
          <w:rFonts w:ascii="Calibri" w:hAnsi="Calibri"/>
          <w:color w:val="525866"/>
          <w:sz w:val="22"/>
        </w:rPr>
        <w:t xml:space="preserve"> Otis raised its quarterly dividend by 5%, signaling management confidence in the long-term earnings and cash flow trajectory despite near-term headwinds.</w:t>
      </w:r>
    </w:p>
    <w:p>
      <w:pPr>
        <w:pStyle w:val="ListBullet"/>
        <w:ind w:left="360" w:hanging="360"/>
      </w:pPr>
      <w:r>
        <w:rPr>
          <w:rFonts w:ascii="Calibri" w:hAnsi="Calibri"/>
          <w:b/>
          <w:color w:val="525866"/>
          <w:sz w:val="22"/>
        </w:rPr>
        <w:t>April 22, 2026 — New Product Launches: Otis ROBUST and Otis Viva.</w:t>
      </w:r>
      <w:r>
        <w:rPr>
          <w:rFonts w:ascii="Calibri" w:hAnsi="Calibri"/>
          <w:color w:val="525866"/>
          <w:sz w:val="22"/>
        </w:rPr>
        <w:t xml:space="preserve"> Otis launched ROBUST, a range of heavy-duty elevators for data centers and mission-critical environments, and Otis Viva, supporting safer mobility for aging populations. Implication: ROBUST targets the fast-growing data center vertical, a new addressable market for elevator/escalator OEMs; Viva addresses the aging global installed base demographic tailwind.</w:t>
      </w:r>
    </w:p>
    <w:p>
      <w:pPr>
        <w:pStyle w:val="ListBullet"/>
        <w:ind w:left="360" w:hanging="360"/>
      </w:pPr>
      <w:r>
        <w:rPr>
          <w:rFonts w:ascii="Calibri" w:hAnsi="Calibri"/>
          <w:b/>
          <w:color w:val="525866"/>
          <w:sz w:val="22"/>
        </w:rPr>
        <w:t>Ongoing — Middle East Conflict: Key Risk to Q2 and H2 Guidance.</w:t>
      </w:r>
      <w:r>
        <w:rPr>
          <w:rFonts w:ascii="Calibri" w:hAnsi="Calibri"/>
          <w:color w:val="525866"/>
          <w:sz w:val="22"/>
        </w:rPr>
        <w:t xml:space="preserve"> Management’s Q2 guidance explicitly assumed the conflict ends in Q2. If it persists, the company flagged a $5–10M per quarter profit headwind from project delays, logistics disruptions, and cost inflation. Multiple peers (Trane Technologies, Carrier, Honeywell, Emerson) also flagged Middle East as a live headwind in their Q1/Q2 prints. Implication: The single biggest binary risk to Q2 results and full-year guidance.</w:t>
      </w:r>
    </w:p>
    <w:p>
      <w:pPr>
        <w:pStyle w:val="ListBullet"/>
        <w:ind w:left="360" w:hanging="360"/>
      </w:pPr>
      <w:r>
        <w:rPr>
          <w:rFonts w:ascii="Calibri" w:hAnsi="Calibri"/>
          <w:b/>
          <w:color w:val="525866"/>
          <w:sz w:val="22"/>
        </w:rPr>
        <w:t>Analyst Actions (Post-Q1):</w:t>
      </w:r>
      <w:r>
        <w:rPr>
          <w:rFonts w:ascii="Calibri" w:hAnsi="Calibri"/>
          <w:color w:val="525866"/>
          <w:sz w:val="22"/>
        </w:rPr>
        <w:t xml:space="preserve"> Barclays lowered price target to $77 (Underweight); RBC Capital lowered PT to $105 (Outperform); Morgan Stanley set PT at $88; UBS set PT at $105; Evercore ISI initiated at Outperform ($100); Wolfe Research downgraded to Peer Perform (April 8); Sanford C. Bernstein initiated at Outperform ($97, June 9). Consensus rating is Hold with average PT of ~$96–97, implying ~33% upside from current levels. Implication: Analyst community is split — bears focused on near-term margin headwinds, bulls on the service flywheel and modernization backlog.</w:t>
      </w:r>
    </w:p>
    <w:p>
      <w:pPr>
        <w:pStyle w:val="ListBullet"/>
        <w:ind w:left="360" w:hanging="360"/>
      </w:pPr>
      <w:r>
        <w:rPr>
          <w:rFonts w:ascii="Calibri" w:hAnsi="Calibri"/>
          <w:b/>
          <w:color w:val="525866"/>
          <w:sz w:val="22"/>
        </w:rPr>
        <w:t>China Modernization Stimulus Expansion:</w:t>
      </w:r>
      <w:r>
        <w:rPr>
          <w:rFonts w:ascii="Calibri" w:hAnsi="Calibri"/>
          <w:color w:val="525866"/>
          <w:sz w:val="22"/>
        </w:rPr>
        <w:t xml:space="preserve"> The 2026 bond stimulus program expanded to ~180,000 units (vs. 120,000 in 2025 and 80,000 in 2024), with a new tiered structure providing higher subsidies for higher-stop buildings. Q1 China modernization orders were up well over 50% and mod backlog up double digits. Implication: A structural positive for Otis’s China service business; partially offsets new equipment volume declines and improves mix.</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OTIS’s Q2 setup: building services demand remains robust, Middle East headwinds are real but manageable and assumed to ease, and China commercial construction is showing early signs of stabilization. The most relevant read-throughs are from </w:t>
      </w:r>
      <w:r>
        <w:rPr>
          <w:rFonts w:ascii="Calibri" w:hAnsi="Calibri"/>
          <w:b/>
          <w:color w:val="525866"/>
          <w:sz w:val="22"/>
        </w:rPr>
        <w:t>Trane Technologies (TT), Johnson Controls (JCI), Carrier (CARR), Honeywell (HON), and Emerson (EMR)</w:t>
      </w:r>
      <w:r>
        <w:rPr>
          <w:rFonts w:ascii="Calibri" w:hAnsi="Calibri"/>
          <w:color w:val="525866"/>
          <w:sz w:val="22"/>
        </w:rPr>
        <w:t xml:space="preserve"> — all of which reported Q1 or Q2 2026 results in the last 60 days and provided commentary directly relevant to OTIS’s Q2 2026 reporting period.</w:t>
      </w:r>
    </w:p>
    <w:p>
      <w:r>
        <w:rPr>
          <w:rFonts w:ascii="Calibri" w:hAnsi="Calibri"/>
          <w:i/>
          <w:color w:val="525866"/>
          <w:sz w:val="22"/>
        </w:rPr>
        <w:t xml:space="preserve">Note on peer selection: </w:t>
      </w:r>
      <w:r>
        <w:rPr>
          <w:rFonts w:ascii="Calibri" w:hAnsi="Calibri"/>
          <w:i/>
          <w:color w:val="525866"/>
          <w:sz w:val="22"/>
        </w:rPr>
        <w:t>Only commentary from peers’ Q1/Q2 2026 earnings calls and post-Q1 investor events (April–July 2026) is included below, as these reflect conditions during OTIS’s Q2 2026 reporting period (April–June 2026). Prior-quarter results commentary has been excluded.</w:t>
      </w:r>
    </w:p>
    <w:p>
      <w:pPr>
        <w:pStyle w:val="Heading3"/>
      </w:pPr>
      <w:r>
        <w:rPr>
          <w:rFonts w:ascii="Calibri" w:hAnsi="Calibri"/>
          <w:b/>
          <w:color w:val="3B4259"/>
          <w:sz w:val="24"/>
        </w:rPr>
        <w:t>Trane Technologies (TT) — Q1 2026 Earnings (April 30, 2026)</w:t>
      </w:r>
    </w:p>
    <w:p>
      <w:r>
        <w:rPr>
          <w:rFonts w:ascii="Calibri" w:hAnsi="Calibri"/>
          <w:b/>
          <w:color w:val="525866"/>
          <w:sz w:val="22"/>
        </w:rPr>
        <w:t xml:space="preserve">Relevance to OTIS: </w:t>
      </w:r>
      <w:r>
        <w:rPr>
          <w:rFonts w:ascii="Calibri" w:hAnsi="Calibri"/>
          <w:color w:val="525866"/>
          <w:sz w:val="22"/>
        </w:rPr>
        <w:t>High. TT is a leading building services and HVAC peer with significant overlap in commercial construction end markets, service business dynamics, and Middle East exposure.</w:t>
      </w:r>
    </w:p>
    <w:p>
      <w:pPr>
        <w:pStyle w:val="ListBullet"/>
        <w:ind w:left="360" w:hanging="360"/>
      </w:pPr>
      <w:r>
        <w:rPr>
          <w:rFonts w:ascii="Calibri" w:hAnsi="Calibri"/>
          <w:color w:val="525866"/>
          <w:sz w:val="22"/>
        </w:rPr>
        <w:t>Services business growing at a low-teens CAGR since 2020; Q1 2026 enterprise organic revenue led by services growth up double digits.</w:t>
      </w:r>
      <w:r>
        <w:rPr>
          <w:rFonts w:ascii="Calibri" w:hAnsi="Calibri"/>
          <w:b/>
          <w:color w:val="525866"/>
          <w:sz w:val="22"/>
        </w:rPr>
        <w:t xml:space="preserve"> Read-through: </w:t>
      </w:r>
      <w:r>
        <w:rPr>
          <w:rFonts w:ascii="Calibri" w:hAnsi="Calibri"/>
          <w:color w:val="525866"/>
          <w:sz w:val="22"/>
        </w:rPr>
        <w:t>Confirms robust demand for building services and maintenance, a positive read-through for OTIS’s service segment organic growth trajectory.</w:t>
      </w:r>
    </w:p>
    <w:p>
      <w:pPr>
        <w:pStyle w:val="ListBullet"/>
        <w:ind w:left="360" w:hanging="360"/>
      </w:pPr>
      <w:r>
        <w:rPr>
          <w:rFonts w:ascii="Calibri" w:hAnsi="Calibri"/>
          <w:color w:val="525866"/>
          <w:sz w:val="22"/>
        </w:rPr>
        <w:t>Americas Commercial HVAC bookings at all-time high, up ~40% YoY; record backlog of $10.7B, up over 30% vs. year-end 2025.</w:t>
      </w:r>
      <w:r>
        <w:rPr>
          <w:rFonts w:ascii="Calibri" w:hAnsi="Calibri"/>
          <w:b/>
          <w:color w:val="525866"/>
          <w:sz w:val="22"/>
        </w:rPr>
        <w:t xml:space="preserve"> Read-through: </w:t>
      </w:r>
      <w:r>
        <w:rPr>
          <w:rFonts w:ascii="Calibri" w:hAnsi="Calibri"/>
          <w:color w:val="525866"/>
          <w:sz w:val="22"/>
        </w:rPr>
        <w:t>Strong commercial construction activity in the Americas is a positive for OTIS’s new equipment Americas business, which saw orders up &gt;20% for the seventh straight quarter in Q1 2026.</w:t>
      </w:r>
    </w:p>
    <w:p>
      <w:pPr>
        <w:pStyle w:val="ListBullet"/>
        <w:ind w:left="360" w:hanging="360"/>
      </w:pPr>
      <w:r>
        <w:rPr>
          <w:rFonts w:ascii="Calibri" w:hAnsi="Calibri"/>
          <w:color w:val="525866"/>
          <w:sz w:val="22"/>
        </w:rPr>
        <w:t>Middle East: EMEA margins impacted by lower revenues than forecast in the Middle East; continued headwinds of ~$50M in revenues and ~$0.05 EPS impact expected in Q2.</w:t>
      </w:r>
      <w:r>
        <w:rPr>
          <w:rFonts w:ascii="Calibri" w:hAnsi="Calibri"/>
          <w:b/>
          <w:color w:val="525866"/>
          <w:sz w:val="22"/>
        </w:rPr>
        <w:t xml:space="preserve"> Read-through: </w:t>
      </w:r>
      <w:r>
        <w:rPr>
          <w:rFonts w:ascii="Calibri" w:hAnsi="Calibri"/>
          <w:color w:val="525866"/>
          <w:sz w:val="22"/>
        </w:rPr>
        <w:t>Confirms the Middle East conflict is a live headwind for building services companies in Q2 2026, consistent with OTIS’s guidance assumption. If TT is still seeing headwinds in Q2, OTIS’s assumption that the conflict ends in Q2 may be optimistic.</w:t>
      </w:r>
    </w:p>
    <w:p>
      <w:pPr>
        <w:pStyle w:val="ListBullet"/>
        <w:ind w:left="360" w:hanging="360"/>
      </w:pPr>
      <w:r>
        <w:rPr>
          <w:rFonts w:ascii="Calibri" w:hAnsi="Calibri"/>
          <w:color w:val="525866"/>
          <w:sz w:val="22"/>
        </w:rPr>
        <w:t>China remains challenging with dynamic macro conditions; rest of Asia expected to be stronger than China in 2026; overall Asia Pacific outlook flattish.</w:t>
      </w:r>
      <w:r>
        <w:rPr>
          <w:rFonts w:ascii="Calibri" w:hAnsi="Calibri"/>
          <w:b/>
          <w:color w:val="525866"/>
          <w:sz w:val="22"/>
        </w:rPr>
        <w:t xml:space="preserve"> Read-through: </w:t>
      </w:r>
      <w:r>
        <w:rPr>
          <w:rFonts w:ascii="Calibri" w:hAnsi="Calibri"/>
          <w:color w:val="525866"/>
          <w:sz w:val="22"/>
        </w:rPr>
        <w:t>Consistent with OTIS’s China new equipment market outlook (units down in 2026, stabilizing); validates OTIS’s strategic pivot toward service and modernization in China.</w:t>
      </w:r>
    </w:p>
    <w:p>
      <w:pPr>
        <w:pStyle w:val="Heading3"/>
      </w:pPr>
      <w:r>
        <w:rPr>
          <w:rFonts w:ascii="Calibri" w:hAnsi="Calibri"/>
          <w:b/>
          <w:color w:val="3B4259"/>
          <w:sz w:val="24"/>
        </w:rPr>
        <w:t>Johnson Controls (JCI) — Q2 2026 Earnings (May 6, 2026)</w:t>
      </w:r>
    </w:p>
    <w:p>
      <w:r>
        <w:rPr>
          <w:rFonts w:ascii="Calibri" w:hAnsi="Calibri"/>
          <w:b/>
          <w:color w:val="525866"/>
          <w:sz w:val="22"/>
        </w:rPr>
        <w:t xml:space="preserve">Relevance to OTIS: </w:t>
      </w:r>
      <w:r>
        <w:rPr>
          <w:rFonts w:ascii="Calibri" w:hAnsi="Calibri"/>
          <w:color w:val="525866"/>
          <w:sz w:val="22"/>
        </w:rPr>
        <w:t>High. JCI is the most direct peer in building services, with a large service business (~1/3 of revenue), significant overlap in commercial construction end markets, and Middle East exposure. JCI’s Q2 2026 covers the same calendar period as OTIS’s Q2 2026.</w:t>
      </w:r>
    </w:p>
    <w:p>
      <w:pPr>
        <w:pStyle w:val="ListBullet"/>
        <w:ind w:left="360" w:hanging="360"/>
      </w:pPr>
      <w:r>
        <w:rPr>
          <w:rFonts w:ascii="Calibri" w:hAnsi="Calibri"/>
          <w:color w:val="525866"/>
          <w:sz w:val="22"/>
        </w:rPr>
        <w:t>Service revenue grew mid-single digits in Q2 2026; Americas service grew solid double digits; overall organic revenue up 6%.</w:t>
      </w:r>
      <w:r>
        <w:rPr>
          <w:rFonts w:ascii="Calibri" w:hAnsi="Calibri"/>
          <w:b/>
          <w:color w:val="525866"/>
          <w:sz w:val="22"/>
        </w:rPr>
        <w:t xml:space="preserve"> Read-through: </w:t>
      </w:r>
      <w:r>
        <w:rPr>
          <w:rFonts w:ascii="Calibri" w:hAnsi="Calibri"/>
          <w:color w:val="525866"/>
          <w:sz w:val="22"/>
        </w:rPr>
        <w:t>Strong building services demand in Q2 2026 is a direct positive read-through for OTIS’s service segment. JCI’s double-digit Americas service growth is particularly encouraging given OTIS’s Americas new equipment strength.</w:t>
      </w:r>
    </w:p>
    <w:p>
      <w:pPr>
        <w:pStyle w:val="ListBullet"/>
        <w:ind w:left="360" w:hanging="360"/>
      </w:pPr>
      <w:r>
        <w:rPr>
          <w:rFonts w:ascii="Calibri" w:hAnsi="Calibri"/>
          <w:color w:val="525866"/>
          <w:sz w:val="22"/>
        </w:rPr>
        <w:t>Orders increased 30% in Q2, building on ~40% growth in Q1; backlog grew 26% to a record $20B.</w:t>
      </w:r>
      <w:r>
        <w:rPr>
          <w:rFonts w:ascii="Calibri" w:hAnsi="Calibri"/>
          <w:b/>
          <w:color w:val="525866"/>
          <w:sz w:val="22"/>
        </w:rPr>
        <w:t xml:space="preserve"> Read-through: </w:t>
      </w:r>
      <w:r>
        <w:rPr>
          <w:rFonts w:ascii="Calibri" w:hAnsi="Calibri"/>
          <w:color w:val="525866"/>
          <w:sz w:val="22"/>
        </w:rPr>
        <w:t>Exceptional order momentum in building systems confirms robust underlying demand for building infrastructure services and equipment — a positive backdrop for OTIS’s modernization backlog conversion.</w:t>
      </w:r>
    </w:p>
    <w:p>
      <w:pPr>
        <w:pStyle w:val="ListBullet"/>
        <w:ind w:left="360" w:hanging="360"/>
      </w:pPr>
      <w:r>
        <w:rPr>
          <w:rFonts w:ascii="Calibri" w:hAnsi="Calibri"/>
          <w:color w:val="525866"/>
          <w:sz w:val="22"/>
        </w:rPr>
        <w:t>Middle East: ~1/3 of JCI’s Middle East business was impacted or delayed in Q2; not anticipating full return to normal in Q3 but hopes for normalization in Q4.</w:t>
      </w:r>
      <w:r>
        <w:rPr>
          <w:rFonts w:ascii="Calibri" w:hAnsi="Calibri"/>
          <w:b/>
          <w:color w:val="525866"/>
          <w:sz w:val="22"/>
        </w:rPr>
        <w:t xml:space="preserve"> Read-through: </w:t>
      </w:r>
      <w:r>
        <w:rPr>
          <w:rFonts w:ascii="Calibri" w:hAnsi="Calibri"/>
          <w:color w:val="525866"/>
          <w:sz w:val="22"/>
        </w:rPr>
        <w:t>This is a significant negative read-through for OTIS. JCI’s Q2 commentary suggests the Middle East conflict did NOT end in Q2 as OTIS assumed in its guidance — raising the risk that OTIS faces the $5–10M per quarter headwind in Q2 and potentially Q3.</w:t>
      </w:r>
    </w:p>
    <w:p>
      <w:pPr>
        <w:pStyle w:val="ListBullet"/>
        <w:ind w:left="360" w:hanging="360"/>
      </w:pPr>
      <w:r>
        <w:rPr>
          <w:rFonts w:ascii="Calibri" w:hAnsi="Calibri"/>
          <w:color w:val="525866"/>
          <w:sz w:val="22"/>
        </w:rPr>
        <w:t>China: JCI believes it has ‘bottomed out’ in China, passing the trough ‘probably a quarter or two ago’; data centers, semiconductor manufacturing, and biologics remain strong verticals.</w:t>
      </w:r>
      <w:r>
        <w:rPr>
          <w:rFonts w:ascii="Calibri" w:hAnsi="Calibri"/>
          <w:b/>
          <w:color w:val="525866"/>
          <w:sz w:val="22"/>
        </w:rPr>
        <w:t xml:space="preserve"> Read-through: </w:t>
      </w:r>
      <w:r>
        <w:rPr>
          <w:rFonts w:ascii="Calibri" w:hAnsi="Calibri"/>
          <w:color w:val="525866"/>
          <w:sz w:val="22"/>
        </w:rPr>
        <w:t>Positive for OTIS’s China service and modernization business; confirms the worst of the China construction downturn may be behind the sector.</w:t>
      </w:r>
    </w:p>
    <w:p>
      <w:pPr>
        <w:pStyle w:val="ListBullet"/>
        <w:ind w:left="360" w:hanging="360"/>
      </w:pPr>
      <w:r>
        <w:rPr>
          <w:rFonts w:ascii="Calibri" w:hAnsi="Calibri"/>
          <w:color w:val="525866"/>
          <w:sz w:val="22"/>
        </w:rPr>
        <w:t>Adjusted EPS up 45% in Q2, exceeding guidance; full-year EPS guidance raised to ~$4.85 (+30% growth).</w:t>
      </w:r>
      <w:r>
        <w:rPr>
          <w:rFonts w:ascii="Calibri" w:hAnsi="Calibri"/>
          <w:b/>
          <w:color w:val="525866"/>
          <w:sz w:val="22"/>
        </w:rPr>
        <w:t xml:space="preserve"> Read-through: </w:t>
      </w:r>
      <w:r>
        <w:rPr>
          <w:rFonts w:ascii="Calibri" w:hAnsi="Calibri"/>
          <w:color w:val="525866"/>
          <w:sz w:val="22"/>
        </w:rPr>
        <w:t>JCI’s strong execution and guidance raise contrasts sharply with OTIS’s guided EPS decline, highlighting the relative underperformance of OTIS’s near-term earnings trajectory and potentially explaining some of the stock’s underperformance vs. the XLI.</w:t>
      </w:r>
    </w:p>
    <w:p>
      <w:pPr>
        <w:pStyle w:val="Heading3"/>
      </w:pPr>
      <w:r>
        <w:rPr>
          <w:rFonts w:ascii="Calibri" w:hAnsi="Calibri"/>
          <w:b/>
          <w:color w:val="3B4259"/>
          <w:sz w:val="24"/>
        </w:rPr>
        <w:t>Carrier Global (CARR) — Q1 2026 Earnings (April 30, 2026)</w:t>
      </w:r>
    </w:p>
    <w:p>
      <w:r>
        <w:rPr>
          <w:rFonts w:ascii="Calibri" w:hAnsi="Calibri"/>
          <w:b/>
          <w:color w:val="525866"/>
          <w:sz w:val="22"/>
        </w:rPr>
        <w:t xml:space="preserve">Relevance to OTIS: </w:t>
      </w:r>
      <w:r>
        <w:rPr>
          <w:rFonts w:ascii="Calibri" w:hAnsi="Calibri"/>
          <w:color w:val="525866"/>
          <w:sz w:val="22"/>
        </w:rPr>
        <w:t>Medium-High. CARR is a building services and HVAC peer with significant commercial construction exposure, aftermarket/service business, and Middle East presence.</w:t>
      </w:r>
    </w:p>
    <w:p>
      <w:pPr>
        <w:pStyle w:val="ListBullet"/>
        <w:ind w:left="360" w:hanging="360"/>
      </w:pPr>
      <w:r>
        <w:rPr>
          <w:rFonts w:ascii="Calibri" w:hAnsi="Calibri"/>
          <w:color w:val="525866"/>
          <w:sz w:val="22"/>
        </w:rPr>
        <w:t>Aftermarket business targeting sixth consecutive year of double-digit growth; internal target of 13–14%; connected devices in field up over 25% in Q1.</w:t>
      </w:r>
      <w:r>
        <w:rPr>
          <w:rFonts w:ascii="Calibri" w:hAnsi="Calibri"/>
          <w:b/>
          <w:color w:val="525866"/>
          <w:sz w:val="22"/>
        </w:rPr>
        <w:t xml:space="preserve"> Read-through: </w:t>
      </w:r>
      <w:r>
        <w:rPr>
          <w:rFonts w:ascii="Calibri" w:hAnsi="Calibri"/>
          <w:color w:val="525866"/>
          <w:sz w:val="22"/>
        </w:rPr>
        <w:t>Confirms the structural tailwind for building services aftermarket businesses — a positive read-through for OTIS’s repair and modernization growth trajectory.</w:t>
      </w:r>
    </w:p>
    <w:p>
      <w:pPr>
        <w:pStyle w:val="ListBullet"/>
        <w:ind w:left="360" w:hanging="360"/>
      </w:pPr>
      <w:r>
        <w:rPr>
          <w:rFonts w:ascii="Calibri" w:hAnsi="Calibri"/>
          <w:color w:val="525866"/>
          <w:sz w:val="22"/>
        </w:rPr>
        <w:t>Global CHVAC orders up 35% in Q1; global data center orders up over 500%; data center backlog fully covers expected $1.5B of data center sales in 2026.</w:t>
      </w:r>
      <w:r>
        <w:rPr>
          <w:rFonts w:ascii="Calibri" w:hAnsi="Calibri"/>
          <w:b/>
          <w:color w:val="525866"/>
          <w:sz w:val="22"/>
        </w:rPr>
        <w:t xml:space="preserve"> Read-through: </w:t>
      </w:r>
      <w:r>
        <w:rPr>
          <w:rFonts w:ascii="Calibri" w:hAnsi="Calibri"/>
          <w:color w:val="525866"/>
          <w:sz w:val="22"/>
        </w:rPr>
        <w:t>Exceptional commercial construction demand, particularly in data centers, validates OTIS’s new ROBUST product launch targeting data center elevator applications.</w:t>
      </w:r>
    </w:p>
    <w:p>
      <w:pPr>
        <w:pStyle w:val="ListBullet"/>
        <w:ind w:left="360" w:hanging="360"/>
      </w:pPr>
      <w:r>
        <w:rPr>
          <w:rFonts w:ascii="Calibri" w:hAnsi="Calibri"/>
          <w:color w:val="525866"/>
          <w:sz w:val="22"/>
        </w:rPr>
        <w:t>China: Overall sales down low teens; residential and light commercial down ~25%; commercial HVAC ‘kind of flattish’ in Q1 but showing early signs of bottoming.</w:t>
      </w:r>
      <w:r>
        <w:rPr>
          <w:rFonts w:ascii="Calibri" w:hAnsi="Calibri"/>
          <w:b/>
          <w:color w:val="525866"/>
          <w:sz w:val="22"/>
        </w:rPr>
        <w:t xml:space="preserve"> Read-through: </w:t>
      </w:r>
      <w:r>
        <w:rPr>
          <w:rFonts w:ascii="Calibri" w:hAnsi="Calibri"/>
          <w:color w:val="525866"/>
          <w:sz w:val="22"/>
        </w:rPr>
        <w:t>Consistent with OTIS’s China new equipment market outlook; residential weakness is well-known and priced in; commercial stabilization is a modest positive.</w:t>
      </w:r>
    </w:p>
    <w:p>
      <w:pPr>
        <w:pStyle w:val="ListBullet"/>
        <w:ind w:left="360" w:hanging="360"/>
      </w:pPr>
      <w:r>
        <w:rPr>
          <w:rFonts w:ascii="Calibri" w:hAnsi="Calibri"/>
          <w:color w:val="525866"/>
          <w:sz w:val="22"/>
        </w:rPr>
        <w:t>Middle East: Sales down mid-single digits due to ongoing conflict; CSAME segment margin impacted.</w:t>
      </w:r>
      <w:r>
        <w:rPr>
          <w:rFonts w:ascii="Calibri" w:hAnsi="Calibri"/>
          <w:b/>
          <w:color w:val="525866"/>
          <w:sz w:val="22"/>
        </w:rPr>
        <w:t xml:space="preserve"> Read-through: </w:t>
      </w:r>
      <w:r>
        <w:rPr>
          <w:rFonts w:ascii="Calibri" w:hAnsi="Calibri"/>
          <w:color w:val="525866"/>
          <w:sz w:val="22"/>
        </w:rPr>
        <w:t>Confirms Middle East headwinds are real and ongoing across the building services sector in Q1 2026.</w:t>
      </w:r>
    </w:p>
    <w:p>
      <w:pPr>
        <w:pStyle w:val="Heading3"/>
      </w:pPr>
      <w:r>
        <w:rPr>
          <w:rFonts w:ascii="Calibri" w:hAnsi="Calibri"/>
          <w:b/>
          <w:color w:val="3B4259"/>
          <w:sz w:val="24"/>
        </w:rPr>
        <w:t>Honeywell (HON) — Q1 2026 Earnings (April 23, 2026)</w:t>
      </w:r>
    </w:p>
    <w:p>
      <w:r>
        <w:rPr>
          <w:rFonts w:ascii="Calibri" w:hAnsi="Calibri"/>
          <w:b/>
          <w:color w:val="525866"/>
          <w:sz w:val="22"/>
        </w:rPr>
        <w:t xml:space="preserve">Relevance to OTIS: </w:t>
      </w:r>
      <w:r>
        <w:rPr>
          <w:rFonts w:ascii="Calibri" w:hAnsi="Calibri"/>
          <w:color w:val="525866"/>
          <w:sz w:val="22"/>
        </w:rPr>
        <w:t>Medium. HON’s Building Automation segment is a relevant peer for commercial building services demand trends, though HON’s primary exposure is to HVAC controls and automation rather than elevator/escalator maintenance.</w:t>
      </w:r>
    </w:p>
    <w:p>
      <w:pPr>
        <w:pStyle w:val="ListBullet"/>
        <w:ind w:left="360" w:hanging="360"/>
      </w:pPr>
      <w:r>
        <w:rPr>
          <w:rFonts w:ascii="Calibri" w:hAnsi="Calibri"/>
          <w:color w:val="525866"/>
          <w:sz w:val="22"/>
        </w:rPr>
        <w:t>Building Automation surpassed expectations in Q1 2026, with sales up 8% organically; orders up 9% with double-digit growth in projects, services, and fire products.</w:t>
      </w:r>
      <w:r>
        <w:rPr>
          <w:rFonts w:ascii="Calibri" w:hAnsi="Calibri"/>
          <w:b/>
          <w:color w:val="525866"/>
          <w:sz w:val="22"/>
        </w:rPr>
        <w:t xml:space="preserve"> Read-through: </w:t>
      </w:r>
      <w:r>
        <w:rPr>
          <w:rFonts w:ascii="Calibri" w:hAnsi="Calibri"/>
          <w:color w:val="525866"/>
          <w:sz w:val="22"/>
        </w:rPr>
        <w:t>Strong building automation demand confirms robust commercial building activity — a positive backdrop for OTIS’s service and modernization business.</w:t>
      </w:r>
    </w:p>
    <w:p>
      <w:pPr>
        <w:pStyle w:val="ListBullet"/>
        <w:ind w:left="360" w:hanging="360"/>
      </w:pPr>
      <w:r>
        <w:rPr>
          <w:rFonts w:ascii="Calibri" w:hAnsi="Calibri"/>
          <w:color w:val="525866"/>
          <w:sz w:val="22"/>
        </w:rPr>
        <w:t>Middle East conflict caused ~0.5% impact to total Honeywell revenue in Q1; Q2 guidance assumes conflict persists, with ~1% revenue impact from logistics and shipment delays.</w:t>
      </w:r>
      <w:r>
        <w:rPr>
          <w:rFonts w:ascii="Calibri" w:hAnsi="Calibri"/>
          <w:b/>
          <w:color w:val="525866"/>
          <w:sz w:val="22"/>
        </w:rPr>
        <w:t xml:space="preserve"> Read-through: </w:t>
      </w:r>
      <w:r>
        <w:rPr>
          <w:rFonts w:ascii="Calibri" w:hAnsi="Calibri"/>
          <w:color w:val="525866"/>
          <w:sz w:val="22"/>
        </w:rPr>
        <w:t>HON’s Q2 guidance explicitly assumes the conflict persists — a direct contradiction of OTIS’s Q2 guidance assumption that the conflict ends in Q2. This is the most important negative read-through from HON for OTIS.</w:t>
      </w:r>
    </w:p>
    <w:p>
      <w:pPr>
        <w:pStyle w:val="ListBullet"/>
        <w:ind w:left="360" w:hanging="360"/>
      </w:pPr>
      <w:r>
        <w:rPr>
          <w:rFonts w:ascii="Calibri" w:hAnsi="Calibri"/>
          <w:color w:val="525866"/>
          <w:sz w:val="22"/>
        </w:rPr>
        <w:t>China Industrial Automation orders up 10% in Q1, with notable strength in China and recovery in Europe; short-cycle demand recovery viewed as very positive.</w:t>
      </w:r>
      <w:r>
        <w:rPr>
          <w:rFonts w:ascii="Calibri" w:hAnsi="Calibri"/>
          <w:b/>
          <w:color w:val="525866"/>
          <w:sz w:val="22"/>
        </w:rPr>
        <w:t xml:space="preserve"> Read-through: </w:t>
      </w:r>
      <w:r>
        <w:rPr>
          <w:rFonts w:ascii="Calibri" w:hAnsi="Calibri"/>
          <w:color w:val="525866"/>
          <w:sz w:val="22"/>
        </w:rPr>
        <w:t>Early signs of China industrial recovery are a modest positive for OTIS’s China service business.</w:t>
      </w:r>
    </w:p>
    <w:p>
      <w:pPr>
        <w:pStyle w:val="ListBullet"/>
        <w:ind w:left="360" w:hanging="360"/>
      </w:pPr>
      <w:r>
        <w:rPr>
          <w:rFonts w:ascii="Calibri" w:hAnsi="Calibri"/>
          <w:color w:val="525866"/>
          <w:sz w:val="22"/>
        </w:rPr>
        <w:t>Pricing above 3% in Q2; trending toward upper end of 3–4% guidance range; pricing discipline driving margin expansion.</w:t>
      </w:r>
      <w:r>
        <w:rPr>
          <w:rFonts w:ascii="Calibri" w:hAnsi="Calibri"/>
          <w:b/>
          <w:color w:val="525866"/>
          <w:sz w:val="22"/>
        </w:rPr>
        <w:t xml:space="preserve"> Read-through: </w:t>
      </w:r>
      <w:r>
        <w:rPr>
          <w:rFonts w:ascii="Calibri" w:hAnsi="Calibri"/>
          <w:color w:val="525866"/>
          <w:sz w:val="22"/>
        </w:rPr>
        <w:t>Confirms building services companies are successfully passing through price increases — supportive of OTIS’s micro-pricing initiative and maintenance organic growth acceleration target of 3% in 2026.</w:t>
      </w:r>
    </w:p>
    <w:p>
      <w:pPr>
        <w:pStyle w:val="Heading3"/>
      </w:pPr>
      <w:r>
        <w:rPr>
          <w:rFonts w:ascii="Calibri" w:hAnsi="Calibri"/>
          <w:b/>
          <w:color w:val="3B4259"/>
          <w:sz w:val="24"/>
        </w:rPr>
        <w:t>Emerson Electric (EMR) — Q2 2026 Earnings (May 5, 2026)</w:t>
      </w:r>
    </w:p>
    <w:p>
      <w:r>
        <w:rPr>
          <w:rFonts w:ascii="Calibri" w:hAnsi="Calibri"/>
          <w:b/>
          <w:color w:val="525866"/>
          <w:sz w:val="22"/>
        </w:rPr>
        <w:t xml:space="preserve">Relevance to OTIS: </w:t>
      </w:r>
      <w:r>
        <w:rPr>
          <w:rFonts w:ascii="Calibri" w:hAnsi="Calibri"/>
          <w:color w:val="525866"/>
          <w:sz w:val="22"/>
        </w:rPr>
        <w:t>Medium. EMR’s primary exposure is to process automation and industrial automation rather than building services, but its Middle East commentary and China outlook are directly relevant to OTIS’s Q2 setup.</w:t>
      </w:r>
    </w:p>
    <w:p>
      <w:pPr>
        <w:pStyle w:val="ListBullet"/>
        <w:ind w:left="360" w:hanging="360"/>
      </w:pPr>
      <w:r>
        <w:rPr>
          <w:rFonts w:ascii="Calibri" w:hAnsi="Calibri"/>
          <w:color w:val="525866"/>
          <w:sz w:val="22"/>
        </w:rPr>
        <w:t>Middle East conflict caused a 1-point impact to underlying sales growth in Q2 2026; field service engineers operating at less than 50% of pre-conflict levels in March, recovering to 80% by mid-April.</w:t>
      </w:r>
      <w:r>
        <w:rPr>
          <w:rFonts w:ascii="Calibri" w:hAnsi="Calibri"/>
          <w:b/>
          <w:color w:val="525866"/>
          <w:sz w:val="22"/>
        </w:rPr>
        <w:t xml:space="preserve"> Read-through: </w:t>
      </w:r>
      <w:r>
        <w:rPr>
          <w:rFonts w:ascii="Calibri" w:hAnsi="Calibri"/>
          <w:color w:val="525866"/>
          <w:sz w:val="22"/>
        </w:rPr>
        <w:t>Confirms the Middle East conflict was a significant operational headwind in Q2 2026 (April–June), directly overlapping with OTIS’s Q2 reporting period. EMR’s experience of partial recovery by mid-April suggests OTIS may have seen some improvement in the back half of Q2, but the full-quarter impact is likely still material.</w:t>
      </w:r>
    </w:p>
    <w:p>
      <w:pPr>
        <w:pStyle w:val="ListBullet"/>
        <w:ind w:left="360" w:hanging="360"/>
      </w:pPr>
      <w:r>
        <w:rPr>
          <w:rFonts w:ascii="Calibri" w:hAnsi="Calibri"/>
          <w:color w:val="525866"/>
          <w:sz w:val="22"/>
        </w:rPr>
        <w:t>China started the year slower than expected; now expected to be down mid-single digits for the full year (vs. original expectation of low single-digit growth).</w:t>
      </w:r>
      <w:r>
        <w:rPr>
          <w:rFonts w:ascii="Calibri" w:hAnsi="Calibri"/>
          <w:b/>
          <w:color w:val="525866"/>
          <w:sz w:val="22"/>
        </w:rPr>
        <w:t xml:space="preserve"> Read-through: </w:t>
      </w:r>
      <w:r>
        <w:rPr>
          <w:rFonts w:ascii="Calibri" w:hAnsi="Calibri"/>
          <w:color w:val="525866"/>
          <w:sz w:val="22"/>
        </w:rPr>
        <w:t>China weakness is broader than just construction — the chemical industry overcapacity is an EMR-specific issue, but the general China macro softness is consistent with OTIS’s China new equipment market outlook.</w:t>
      </w:r>
    </w:p>
    <w:p>
      <w:pPr>
        <w:pStyle w:val="ListBullet"/>
        <w:ind w:left="360" w:hanging="360"/>
      </w:pPr>
      <w:r>
        <w:rPr>
          <w:rFonts w:ascii="Calibri" w:hAnsi="Calibri"/>
          <w:color w:val="525866"/>
          <w:sz w:val="22"/>
        </w:rPr>
        <w:t>MRO activity resilient in North America; no negative MRO trends globally outside the Middle East.</w:t>
      </w:r>
      <w:r>
        <w:rPr>
          <w:rFonts w:ascii="Calibri" w:hAnsi="Calibri"/>
          <w:b/>
          <w:color w:val="525866"/>
          <w:sz w:val="22"/>
        </w:rPr>
        <w:t xml:space="preserve"> Read-through: </w:t>
      </w:r>
      <w:r>
        <w:rPr>
          <w:rFonts w:ascii="Calibri" w:hAnsi="Calibri"/>
          <w:color w:val="525866"/>
          <w:sz w:val="22"/>
        </w:rPr>
        <w:t>Confirms the structural resilience of maintenance and repair spending — a positive read-through for OTIS’s repair business, which management described as non-discretionary and growing ~10% on a sustained basis.</w:t>
      </w:r>
    </w:p>
    <w:p>
      <w:pPr>
        <w:pStyle w:val="ListBullet"/>
        <w:ind w:left="360" w:hanging="360"/>
      </w:pPr>
      <w:r>
        <w:rPr>
          <w:rFonts w:ascii="Calibri" w:hAnsi="Calibri"/>
          <w:color w:val="525866"/>
          <w:sz w:val="22"/>
        </w:rPr>
        <w:t>Middle East rebuild and restart opportunity estimated at ~$100M, expected to play out over several quarters.</w:t>
      </w:r>
      <w:r>
        <w:rPr>
          <w:rFonts w:ascii="Calibri" w:hAnsi="Calibri"/>
          <w:b/>
          <w:color w:val="525866"/>
          <w:sz w:val="22"/>
        </w:rPr>
        <w:t xml:space="preserve"> Read-through: </w:t>
      </w:r>
      <w:r>
        <w:rPr>
          <w:rFonts w:ascii="Calibri" w:hAnsi="Calibri"/>
          <w:color w:val="525866"/>
          <w:sz w:val="22"/>
        </w:rPr>
        <w:t>Suggests the Middle East conflict, while a near-term headwind, creates a medium-term rebuild opportunity for building services companies including OTIS, particularly for modernization and new equipment projects that were delayed.</w:t>
      </w:r>
    </w:p>
    <w:p>
      <w:pPr>
        <w:pStyle w:val="Heading3"/>
      </w:pPr>
      <w:r>
        <w:rPr>
          <w:rFonts w:ascii="Calibri" w:hAnsi="Calibri"/>
          <w:b/>
          <w:color w:val="3B4259"/>
          <w:sz w:val="24"/>
        </w:rPr>
        <w:t>Johnson Controls (JCI) — Gemba Day Investor Event (June 1, 2026)</w:t>
      </w:r>
    </w:p>
    <w:p>
      <w:r>
        <w:rPr>
          <w:rFonts w:ascii="Calibri" w:hAnsi="Calibri"/>
          <w:b/>
          <w:color w:val="525866"/>
          <w:sz w:val="22"/>
        </w:rPr>
        <w:t xml:space="preserve">Relevance to OTIS: </w:t>
      </w:r>
      <w:r>
        <w:rPr>
          <w:rFonts w:ascii="Calibri" w:hAnsi="Calibri"/>
          <w:color w:val="525866"/>
          <w:sz w:val="22"/>
        </w:rPr>
        <w:t>Medium. JCI’s investor day provided forward-looking commentary on building services demand trends and data center growth that is relevant to OTIS’s long-term service and modernization opportunity.</w:t>
      </w:r>
    </w:p>
    <w:p>
      <w:pPr>
        <w:pStyle w:val="ListBullet"/>
        <w:ind w:left="360" w:hanging="360"/>
      </w:pPr>
      <w:r>
        <w:rPr>
          <w:rFonts w:ascii="Calibri" w:hAnsi="Calibri"/>
          <w:color w:val="525866"/>
          <w:sz w:val="22"/>
        </w:rPr>
        <w:t>Data center CapEx projected to reach $7 trillion by 2030; described as ‘the greatest infrastructure build-out in human history’; JCI taking a position in the entire thermal management chain.</w:t>
      </w:r>
      <w:r>
        <w:rPr>
          <w:rFonts w:ascii="Calibri" w:hAnsi="Calibri"/>
          <w:b/>
          <w:color w:val="525866"/>
          <w:sz w:val="22"/>
        </w:rPr>
        <w:t xml:space="preserve"> Read-through: </w:t>
      </w:r>
      <w:r>
        <w:rPr>
          <w:rFonts w:ascii="Calibri" w:hAnsi="Calibri"/>
          <w:color w:val="525866"/>
          <w:sz w:val="22"/>
        </w:rPr>
        <w:t>Validates OTIS’s new ROBUST product launch for data center elevator applications; the data center build-out creates demand for all building infrastructure services including vertical transportation.</w:t>
      </w:r>
    </w:p>
    <w:p>
      <w:pPr>
        <w:pStyle w:val="ListBullet"/>
        <w:ind w:left="360" w:hanging="360"/>
      </w:pPr>
      <w:r>
        <w:rPr>
          <w:rFonts w:ascii="Calibri" w:hAnsi="Calibri"/>
          <w:color w:val="525866"/>
          <w:sz w:val="22"/>
        </w:rPr>
        <w:t>Service teams with decades of domain expertise and field presence in ~100 countries are a key competitive differentiator; company implementing business system to double customer-facing time.</w:t>
      </w:r>
      <w:r>
        <w:rPr>
          <w:rFonts w:ascii="Calibri" w:hAnsi="Calibri"/>
          <w:b/>
          <w:color w:val="525866"/>
          <w:sz w:val="22"/>
        </w:rPr>
        <w:t xml:space="preserve"> Read-through: </w:t>
      </w:r>
      <w:r>
        <w:rPr>
          <w:rFonts w:ascii="Calibri" w:hAnsi="Calibri"/>
          <w:color w:val="525866"/>
          <w:sz w:val="22"/>
        </w:rPr>
        <w:t>Confirms the strategic importance of field service density — directly analogous to OTIS’s investment in mechanic hiring and service excellence, and validates the long-term value of OTIS’s 2.5M unit maintenance portfolio.</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 for OTIS</w:t>
            </w:r>
          </w:p>
        </w:tc>
        <w:tc>
          <w:tcPr>
            <w:tcW w:type="dxa" w:w="2160"/>
            <w:shd w:val="clear" w:color="auto" w:fill="3B4259"/>
          </w:tcPr>
          <w:p>
            <w:r>
              <w:rPr>
                <w:rFonts w:ascii="Calibri" w:hAnsi="Calibri"/>
                <w:b/>
                <w:color w:val="FFFFFF"/>
                <w:sz w:val="22"/>
              </w:rPr>
              <w:t>Key Peer</w:t>
            </w:r>
          </w:p>
        </w:tc>
      </w:tr>
      <w:tr>
        <w:tc>
          <w:tcPr>
            <w:tcW w:type="dxa" w:w="2160"/>
          </w:tcPr>
          <w:p>
            <w:r>
              <w:rPr>
                <w:rFonts w:ascii="Calibri" w:hAnsi="Calibri"/>
                <w:sz w:val="22"/>
              </w:rPr>
              <w:t>Building Services Demand</w:t>
            </w:r>
          </w:p>
        </w:tc>
        <w:tc>
          <w:tcPr>
            <w:tcW w:type="dxa" w:w="2160"/>
          </w:tcPr>
          <w:p>
            <w:r>
              <w:rPr>
                <w:rFonts w:ascii="Calibri" w:hAnsi="Calibri"/>
                <w:sz w:val="22"/>
              </w:rPr>
              <w:t>Services growing double digits; record backlogs; strong order momentum</w:t>
            </w:r>
          </w:p>
        </w:tc>
        <w:tc>
          <w:tcPr>
            <w:tcW w:type="dxa" w:w="2160"/>
          </w:tcPr>
          <w:p>
            <w:r>
              <w:rPr>
                <w:rFonts w:ascii="Calibri" w:hAnsi="Calibri"/>
                <w:b/>
                <w:color w:val="30A46C"/>
                <w:sz w:val="22"/>
              </w:rPr>
              <w:t>Positive</w:t>
            </w:r>
          </w:p>
        </w:tc>
        <w:tc>
          <w:tcPr>
            <w:tcW w:type="dxa" w:w="2160"/>
          </w:tcPr>
          <w:p>
            <w:r>
              <w:rPr>
                <w:rFonts w:ascii="Calibri" w:hAnsi="Calibri"/>
                <w:sz w:val="22"/>
              </w:rPr>
              <w:t>TT, JCI, CARR</w:t>
            </w:r>
          </w:p>
        </w:tc>
      </w:tr>
      <w:tr>
        <w:tc>
          <w:tcPr>
            <w:tcW w:type="dxa" w:w="2160"/>
          </w:tcPr>
          <w:p>
            <w:r>
              <w:rPr>
                <w:rFonts w:ascii="Calibri" w:hAnsi="Calibri"/>
                <w:sz w:val="22"/>
              </w:rPr>
              <w:t>Middle East Conflict (Q2 2026)</w:t>
            </w:r>
          </w:p>
        </w:tc>
        <w:tc>
          <w:tcPr>
            <w:tcW w:type="dxa" w:w="2160"/>
          </w:tcPr>
          <w:p>
            <w:r>
              <w:rPr>
                <w:rFonts w:ascii="Calibri" w:hAnsi="Calibri"/>
                <w:sz w:val="22"/>
              </w:rPr>
              <w:t>Conflict persisted through Q2; JCI saw 1/3 of ME business impacted; HON guided 1% revenue impact in Q2; EMR at &lt;50% field service capacity in March</w:t>
            </w:r>
          </w:p>
        </w:tc>
        <w:tc>
          <w:tcPr>
            <w:tcW w:type="dxa" w:w="2160"/>
          </w:tcPr>
          <w:p>
            <w:r>
              <w:rPr>
                <w:rFonts w:ascii="Calibri" w:hAnsi="Calibri"/>
                <w:b/>
                <w:color w:val="E5484D"/>
                <w:sz w:val="22"/>
              </w:rPr>
              <w:t>Negative</w:t>
            </w:r>
          </w:p>
        </w:tc>
        <w:tc>
          <w:tcPr>
            <w:tcW w:type="dxa" w:w="2160"/>
          </w:tcPr>
          <w:p>
            <w:r>
              <w:rPr>
                <w:rFonts w:ascii="Calibri" w:hAnsi="Calibri"/>
                <w:sz w:val="22"/>
              </w:rPr>
              <w:t>JCI, HON, EMR, TT</w:t>
            </w:r>
          </w:p>
        </w:tc>
      </w:tr>
      <w:tr>
        <w:tc>
          <w:tcPr>
            <w:tcW w:type="dxa" w:w="2160"/>
          </w:tcPr>
          <w:p>
            <w:r>
              <w:rPr>
                <w:rFonts w:ascii="Calibri" w:hAnsi="Calibri"/>
                <w:sz w:val="22"/>
              </w:rPr>
              <w:t>China Construction</w:t>
            </w:r>
          </w:p>
        </w:tc>
        <w:tc>
          <w:tcPr>
            <w:tcW w:type="dxa" w:w="2160"/>
          </w:tcPr>
          <w:p>
            <w:r>
              <w:rPr>
                <w:rFonts w:ascii="Calibri" w:hAnsi="Calibri"/>
                <w:sz w:val="22"/>
              </w:rPr>
              <w:t>JCI believes China has ‘bottomed out’; CARR seeing commercial HVAC stabilize; EMR China down mid-single digits (chemical-specific)</w:t>
            </w:r>
          </w:p>
        </w:tc>
        <w:tc>
          <w:tcPr>
            <w:tcW w:type="dxa" w:w="2160"/>
          </w:tcPr>
          <w:p>
            <w:r>
              <w:rPr>
                <w:rFonts w:ascii="Calibri" w:hAnsi="Calibri"/>
                <w:b/>
                <w:color w:val="30A46C"/>
                <w:sz w:val="22"/>
              </w:rPr>
              <w:t>Neutral / Slightly Positive</w:t>
            </w:r>
          </w:p>
        </w:tc>
        <w:tc>
          <w:tcPr>
            <w:tcW w:type="dxa" w:w="2160"/>
          </w:tcPr>
          <w:p>
            <w:r>
              <w:rPr>
                <w:rFonts w:ascii="Calibri" w:hAnsi="Calibri"/>
                <w:sz w:val="22"/>
              </w:rPr>
              <w:t>JCI, CARR</w:t>
            </w:r>
          </w:p>
        </w:tc>
      </w:tr>
      <w:tr>
        <w:tc>
          <w:tcPr>
            <w:tcW w:type="dxa" w:w="2160"/>
          </w:tcPr>
          <w:p>
            <w:r>
              <w:rPr>
                <w:rFonts w:ascii="Calibri" w:hAnsi="Calibri"/>
                <w:sz w:val="22"/>
              </w:rPr>
              <w:t>Pricing Power</w:t>
            </w:r>
          </w:p>
        </w:tc>
        <w:tc>
          <w:tcPr>
            <w:tcW w:type="dxa" w:w="2160"/>
          </w:tcPr>
          <w:p>
            <w:r>
              <w:rPr>
                <w:rFonts w:ascii="Calibri" w:hAnsi="Calibri"/>
                <w:sz w:val="22"/>
              </w:rPr>
              <w:t>HON pricing above 3%; CARR adding 2 pts of pricing globally; TT pricing ~2 pts; all successfully passing through cost increases</w:t>
            </w:r>
          </w:p>
        </w:tc>
        <w:tc>
          <w:tcPr>
            <w:tcW w:type="dxa" w:w="2160"/>
          </w:tcPr>
          <w:p>
            <w:r>
              <w:rPr>
                <w:rFonts w:ascii="Calibri" w:hAnsi="Calibri"/>
                <w:b/>
                <w:color w:val="30A46C"/>
                <w:sz w:val="22"/>
              </w:rPr>
              <w:t>Positive</w:t>
            </w:r>
          </w:p>
        </w:tc>
        <w:tc>
          <w:tcPr>
            <w:tcW w:type="dxa" w:w="2160"/>
          </w:tcPr>
          <w:p>
            <w:r>
              <w:rPr>
                <w:rFonts w:ascii="Calibri" w:hAnsi="Calibri"/>
                <w:sz w:val="22"/>
              </w:rPr>
              <w:t>HON, CARR, TT</w:t>
            </w:r>
          </w:p>
        </w:tc>
      </w:tr>
      <w:tr>
        <w:tc>
          <w:tcPr>
            <w:tcW w:type="dxa" w:w="2160"/>
          </w:tcPr>
          <w:p>
            <w:r>
              <w:rPr>
                <w:rFonts w:ascii="Calibri" w:hAnsi="Calibri"/>
                <w:sz w:val="22"/>
              </w:rPr>
              <w:t>Americas Commercial Construction</w:t>
            </w:r>
          </w:p>
        </w:tc>
        <w:tc>
          <w:tcPr>
            <w:tcW w:type="dxa" w:w="2160"/>
          </w:tcPr>
          <w:p>
            <w:r>
              <w:rPr>
                <w:rFonts w:ascii="Calibri" w:hAnsi="Calibri"/>
                <w:sz w:val="22"/>
              </w:rPr>
              <w:t>TT Americas CHVAC bookings at all-time high (+40% YoY); JCI Americas orders +40%; data centers, healthcare, education driving demand</w:t>
            </w:r>
          </w:p>
        </w:tc>
        <w:tc>
          <w:tcPr>
            <w:tcW w:type="dxa" w:w="2160"/>
          </w:tcPr>
          <w:p>
            <w:r>
              <w:rPr>
                <w:rFonts w:ascii="Calibri" w:hAnsi="Calibri"/>
                <w:b/>
                <w:color w:val="30A46C"/>
                <w:sz w:val="22"/>
              </w:rPr>
              <w:t>Positive</w:t>
            </w:r>
          </w:p>
        </w:tc>
        <w:tc>
          <w:tcPr>
            <w:tcW w:type="dxa" w:w="2160"/>
          </w:tcPr>
          <w:p>
            <w:r>
              <w:rPr>
                <w:rFonts w:ascii="Calibri" w:hAnsi="Calibri"/>
                <w:sz w:val="22"/>
              </w:rPr>
              <w:t>TT, JCI</w:t>
            </w:r>
          </w:p>
        </w:tc>
      </w:tr>
      <w:tr>
        <w:tc>
          <w:tcPr>
            <w:tcW w:type="dxa" w:w="2160"/>
          </w:tcPr>
          <w:p>
            <w:r>
              <w:rPr>
                <w:rFonts w:ascii="Calibri" w:hAnsi="Calibri"/>
                <w:sz w:val="22"/>
              </w:rPr>
              <w:t>MRO / Repair Resilience</w:t>
            </w:r>
          </w:p>
        </w:tc>
        <w:tc>
          <w:tcPr>
            <w:tcW w:type="dxa" w:w="2160"/>
          </w:tcPr>
          <w:p>
            <w:r>
              <w:rPr>
                <w:rFonts w:ascii="Calibri" w:hAnsi="Calibri"/>
                <w:sz w:val="22"/>
              </w:rPr>
              <w:t>EMR MRO 65% of sales; resilient in North America; no negative trends globally ex-Middle East</w:t>
            </w:r>
          </w:p>
        </w:tc>
        <w:tc>
          <w:tcPr>
            <w:tcW w:type="dxa" w:w="2160"/>
          </w:tcPr>
          <w:p>
            <w:r>
              <w:rPr>
                <w:rFonts w:ascii="Calibri" w:hAnsi="Calibri"/>
                <w:b/>
                <w:color w:val="30A46C"/>
                <w:sz w:val="22"/>
              </w:rPr>
              <w:t>Positive</w:t>
            </w:r>
          </w:p>
        </w:tc>
        <w:tc>
          <w:tcPr>
            <w:tcW w:type="dxa" w:w="2160"/>
          </w:tcPr>
          <w:p>
            <w:r>
              <w:rPr>
                <w:rFonts w:ascii="Calibri" w:hAnsi="Calibri"/>
                <w:sz w:val="22"/>
              </w:rPr>
              <w:t>EMR</w:t>
            </w:r>
          </w:p>
        </w:tc>
      </w:tr>
      <w:tr>
        <w:tc>
          <w:tcPr>
            <w:tcW w:type="dxa" w:w="2160"/>
          </w:tcPr>
          <w:p>
            <w:r>
              <w:rPr>
                <w:rFonts w:ascii="Calibri" w:hAnsi="Calibri"/>
                <w:sz w:val="22"/>
              </w:rPr>
              <w:t>Data Center Demand</w:t>
            </w:r>
          </w:p>
        </w:tc>
        <w:tc>
          <w:tcPr>
            <w:tcW w:type="dxa" w:w="2160"/>
          </w:tcPr>
          <w:p>
            <w:r>
              <w:rPr>
                <w:rFonts w:ascii="Calibri" w:hAnsi="Calibri"/>
                <w:sz w:val="22"/>
              </w:rPr>
              <w:t>CARR data center orders +500%; JCI backlog at record $20B; TT applied bookings +160%; all seeing exceptional data center demand</w:t>
            </w:r>
          </w:p>
        </w:tc>
        <w:tc>
          <w:tcPr>
            <w:tcW w:type="dxa" w:w="2160"/>
          </w:tcPr>
          <w:p>
            <w:r>
              <w:rPr>
                <w:rFonts w:ascii="Calibri" w:hAnsi="Calibri"/>
                <w:b/>
                <w:color w:val="30A46C"/>
                <w:sz w:val="22"/>
              </w:rPr>
              <w:t>Positive (long-term)</w:t>
            </w:r>
          </w:p>
        </w:tc>
        <w:tc>
          <w:tcPr>
            <w:tcW w:type="dxa" w:w="2160"/>
          </w:tcPr>
          <w:p>
            <w:r>
              <w:rPr>
                <w:rFonts w:ascii="Calibri" w:hAnsi="Calibri"/>
                <w:sz w:val="22"/>
              </w:rPr>
              <w:t>CARR, JCI, TT</w:t>
            </w:r>
          </w:p>
        </w:tc>
      </w:tr>
    </w:tbl>
    <w:p>
      <w:r>
        <w:rPr>
          <w:rFonts w:ascii="Calibri" w:hAnsi="Calibri"/>
          <w:b/>
          <w:color w:val="525866"/>
          <w:sz w:val="22"/>
        </w:rPr>
        <w:t xml:space="preserve">Bottom Line: </w:t>
      </w:r>
      <w:r>
        <w:rPr>
          <w:rFonts w:ascii="Calibri" w:hAnsi="Calibri"/>
          <w:color w:val="525866"/>
          <w:sz w:val="22"/>
        </w:rPr>
        <w:t>The peer read-through is broadly constructive for OTIS’s service and modernization business, but the Middle East commentary from JCI, HON, EMR, and TT collectively suggests the conflict did NOT end in Q2 as OTIS assumed — the most important negative read-through heading into the print. If OTIS confirms the $5–10M per quarter headwind persisted through Q2, it may need to revise its H2 recovery assumptions.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since Q1 earnings. The only notable transaction is a routine open-market sale by the President of Otis EMEA (Thibault Lefebure) on May 7 — not on a 10b5-1 plan, but modest in size. Director deferred stock unit awards are routine compensation and carry no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Lefebure, Thibault Pierre Marie</w:t>
            </w:r>
          </w:p>
        </w:tc>
        <w:tc>
          <w:tcPr>
            <w:tcW w:type="dxa" w:w="1440"/>
          </w:tcPr>
          <w:p>
            <w:r>
              <w:rPr>
                <w:rFonts w:ascii="Calibri" w:hAnsi="Calibri"/>
                <w:sz w:val="22"/>
              </w:rPr>
              <w:t>President, Otis EMEA</w:t>
            </w:r>
          </w:p>
        </w:tc>
        <w:tc>
          <w:tcPr>
            <w:tcW w:type="dxa" w:w="1440"/>
          </w:tcPr>
          <w:p>
            <w:r>
              <w:rPr>
                <w:rFonts w:ascii="Calibri" w:hAnsi="Calibri"/>
                <w:sz w:val="22"/>
              </w:rPr>
              <w:t>Open Market Sale</w:t>
            </w:r>
          </w:p>
        </w:tc>
        <w:tc>
          <w:tcPr>
            <w:tcW w:type="dxa" w:w="1440"/>
          </w:tcPr>
          <w:p>
            <w:r>
              <w:rPr>
                <w:rFonts w:ascii="Calibri" w:hAnsi="Calibri"/>
                <w:sz w:val="22"/>
              </w:rPr>
              <w:t>1,628 shares</w:t>
            </w:r>
          </w:p>
        </w:tc>
        <w:tc>
          <w:tcPr>
            <w:tcW w:type="dxa" w:w="1440"/>
          </w:tcPr>
          <w:p>
            <w:r>
              <w:rPr>
                <w:rFonts w:ascii="Calibri" w:hAnsi="Calibri"/>
                <w:sz w:val="22"/>
              </w:rPr>
              <w:t>May 7, 2026</w:t>
            </w:r>
          </w:p>
        </w:tc>
        <w:tc>
          <w:tcPr>
            <w:tcW w:type="dxa" w:w="1440"/>
          </w:tcPr>
          <w:p>
            <w:r>
              <w:rPr>
                <w:rFonts w:ascii="Calibri" w:hAnsi="Calibri"/>
                <w:sz w:val="22"/>
              </w:rPr>
              <w:t>Discretionary sale; not flagged as 10b5-1 plan; modest size relative to remaining holdings of 4,008 shares; no clear signal</w:t>
            </w:r>
          </w:p>
        </w:tc>
      </w:tr>
      <w:tr>
        <w:tc>
          <w:tcPr>
            <w:tcW w:type="dxa" w:w="1440"/>
          </w:tcPr>
          <w:p>
            <w:r>
              <w:rPr>
                <w:rFonts w:ascii="Calibri" w:hAnsi="Calibri"/>
                <w:sz w:val="22"/>
              </w:rPr>
              <w:t>Armas, Joseph Jay</w:t>
            </w:r>
          </w:p>
        </w:tc>
        <w:tc>
          <w:tcPr>
            <w:tcW w:type="dxa" w:w="1440"/>
          </w:tcPr>
          <w:p>
            <w:r>
              <w:rPr>
                <w:rFonts w:ascii="Calibri" w:hAnsi="Calibri"/>
                <w:sz w:val="22"/>
              </w:rPr>
              <w:t>President, Otis Americas</w:t>
            </w:r>
          </w:p>
        </w:tc>
        <w:tc>
          <w:tcPr>
            <w:tcW w:type="dxa" w:w="1440"/>
          </w:tcPr>
          <w:p>
            <w:r>
              <w:rPr>
                <w:rFonts w:ascii="Calibri" w:hAnsi="Calibri"/>
                <w:sz w:val="22"/>
              </w:rPr>
              <w:t>Tax Withholding (Code F)</w:t>
            </w:r>
          </w:p>
        </w:tc>
        <w:tc>
          <w:tcPr>
            <w:tcW w:type="dxa" w:w="1440"/>
          </w:tcPr>
          <w:p>
            <w:r>
              <w:rPr>
                <w:rFonts w:ascii="Calibri" w:hAnsi="Calibri"/>
                <w:sz w:val="22"/>
              </w:rPr>
              <w:t>421 shares</w:t>
            </w:r>
          </w:p>
        </w:tc>
        <w:tc>
          <w:tcPr>
            <w:tcW w:type="dxa" w:w="1440"/>
          </w:tcPr>
          <w:p>
            <w:r>
              <w:rPr>
                <w:rFonts w:ascii="Calibri" w:hAnsi="Calibri"/>
                <w:sz w:val="22"/>
              </w:rPr>
              <w:t>June 2, 2026</w:t>
            </w:r>
          </w:p>
        </w:tc>
        <w:tc>
          <w:tcPr>
            <w:tcW w:type="dxa" w:w="1440"/>
          </w:tcPr>
          <w:p>
            <w:r>
              <w:rPr>
                <w:rFonts w:ascii="Calibri" w:hAnsi="Calibri"/>
                <w:sz w:val="22"/>
              </w:rPr>
              <w:t>Shares withheld for tax obligation on vesting; not a discretionary sale; no signal</w:t>
            </w:r>
          </w:p>
        </w:tc>
      </w:tr>
      <w:tr>
        <w:tc>
          <w:tcPr>
            <w:tcW w:type="dxa" w:w="1440"/>
          </w:tcPr>
          <w:p>
            <w:r>
              <w:rPr>
                <w:rFonts w:ascii="Calibri" w:hAnsi="Calibri"/>
                <w:sz w:val="22"/>
              </w:rPr>
              <w:t>Bartlett, Thomas A.</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2,716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Black, Jeffrey Harry</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2,800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Brannon, Jill</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4,527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Connors, Nelda J.</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2,716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Hannan, Kathy Hopinkah</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2,758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Kearney, Christopher J.</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2,591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Preston, Margaret M.V.</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4,597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Stewart, Shelley JR</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2,591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r>
        <w:tc>
          <w:tcPr>
            <w:tcW w:type="dxa" w:w="1440"/>
          </w:tcPr>
          <w:p>
            <w:r>
              <w:rPr>
                <w:rFonts w:ascii="Calibri" w:hAnsi="Calibri"/>
                <w:sz w:val="22"/>
              </w:rPr>
              <w:t>Walker, John H.</w:t>
            </w:r>
          </w:p>
        </w:tc>
        <w:tc>
          <w:tcPr>
            <w:tcW w:type="dxa" w:w="1440"/>
          </w:tcPr>
          <w:p>
            <w:r>
              <w:rPr>
                <w:rFonts w:ascii="Calibri" w:hAnsi="Calibri"/>
                <w:sz w:val="22"/>
              </w:rPr>
              <w:t>Director</w:t>
            </w:r>
          </w:p>
        </w:tc>
        <w:tc>
          <w:tcPr>
            <w:tcW w:type="dxa" w:w="1440"/>
          </w:tcPr>
          <w:p>
            <w:r>
              <w:rPr>
                <w:rFonts w:ascii="Calibri" w:hAnsi="Calibri"/>
                <w:sz w:val="22"/>
              </w:rPr>
              <w:t>Deferred Stock Unit Award (Code A)</w:t>
            </w:r>
          </w:p>
        </w:tc>
        <w:tc>
          <w:tcPr>
            <w:tcW w:type="dxa" w:w="1440"/>
          </w:tcPr>
          <w:p>
            <w:r>
              <w:rPr>
                <w:rFonts w:ascii="Calibri" w:hAnsi="Calibri"/>
                <w:sz w:val="22"/>
              </w:rPr>
              <w:t>4,806 DSUs</w:t>
            </w:r>
          </w:p>
        </w:tc>
        <w:tc>
          <w:tcPr>
            <w:tcW w:type="dxa" w:w="1440"/>
          </w:tcPr>
          <w:p>
            <w:r>
              <w:rPr>
                <w:rFonts w:ascii="Calibri" w:hAnsi="Calibri"/>
                <w:sz w:val="22"/>
              </w:rPr>
              <w:t>May 27, 2026</w:t>
            </w:r>
          </w:p>
        </w:tc>
        <w:tc>
          <w:tcPr>
            <w:tcW w:type="dxa" w:w="1440"/>
          </w:tcPr>
          <w:p>
            <w:r>
              <w:rPr>
                <w:rFonts w:ascii="Calibri" w:hAnsi="Calibri"/>
                <w:sz w:val="22"/>
              </w:rPr>
              <w:t>Routine annual director compensation award; no signal</w:t>
            </w:r>
          </w:p>
        </w:tc>
      </w:tr>
    </w:tbl>
    <w:p>
      <w:r>
        <w:rPr>
          <w:rFonts w:ascii="Calibri" w:hAnsi="Calibri"/>
          <w:color w:val="525866"/>
          <w:sz w:val="22"/>
        </w:rPr>
        <w:t>Source: SEC Form 4 filings via Insider Transaction Data. Period covered: April 22, 2026 – July 21, 2026.</w:t>
      </w:r>
    </w:p>
    <w:p>
      <w:r>
        <w:rPr>
          <w:rFonts w:ascii="Calibri" w:hAnsi="Calibri"/>
          <w:b/>
          <w:color w:val="525866"/>
          <w:sz w:val="22"/>
        </w:rPr>
        <w:t xml:space="preserve">Assessment: </w:t>
      </w:r>
      <w:r>
        <w:rPr>
          <w:rFonts w:ascii="Calibri" w:hAnsi="Calibri"/>
          <w:color w:val="525866"/>
          <w:sz w:val="22"/>
        </w:rPr>
        <w:t>Insider activity since Q1 earnings is unremarkable. The only open-market sale is from the President of Otis EMEA (1,628 shares on May 7), which is modest in size and not on a 10b5-1 plan, but also not large enough to be a meaningful negative signal. The absence of any open-market buys from senior management (CEO, CFO, or segment presidents) is notable given the stock’s ~7.6% decline since Q1 earnings, but is not unusual for a company in a quiet period ahead of earnings. No clustered buys or unusual sale patterns to flag.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