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Otis Worldwide Corporation (OTIS)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Ticker</w:t>
            </w:r>
          </w:p>
        </w:tc>
        <w:tc>
          <w:tcPr>
            <w:tcW w:type="dxa" w:w="2160"/>
          </w:tcPr>
          <w:p>
            <w:r>
              <w:rPr>
                <w:rFonts w:ascii="Calibri" w:hAnsi="Calibri"/>
                <w:sz w:val="22"/>
              </w:rPr>
              <w:t>OTIS</w:t>
            </w:r>
          </w:p>
        </w:tc>
        <w:tc>
          <w:tcPr>
            <w:tcW w:type="dxa" w:w="2160"/>
          </w:tcPr>
          <w:p>
            <w:r>
              <w:rPr>
                <w:rFonts w:ascii="Calibri" w:hAnsi="Calibri"/>
                <w:b/>
                <w:sz w:val="22"/>
              </w:rPr>
              <w:t>Earnings Date</w:t>
            </w:r>
          </w:p>
        </w:tc>
        <w:tc>
          <w:tcPr>
            <w:tcW w:type="dxa" w:w="2160"/>
          </w:tcPr>
          <w:p>
            <w:r>
              <w:rPr>
                <w:rFonts w:ascii="Calibri" w:hAnsi="Calibri"/>
                <w:sz w:val="22"/>
              </w:rPr>
              <w:t>July 22, 2026 (Pre-Market)</w:t>
            </w:r>
          </w:p>
        </w:tc>
      </w:tr>
      <w:tr>
        <w:tc>
          <w:tcPr>
            <w:tcW w:type="dxa" w:w="2160"/>
          </w:tcPr>
          <w:p>
            <w:r>
              <w:rPr>
                <w:rFonts w:ascii="Calibri" w:hAnsi="Calibri"/>
                <w:b/>
                <w:sz w:val="22"/>
              </w:rPr>
              <w:t>Reporting Period</w:t>
            </w:r>
          </w:p>
        </w:tc>
        <w:tc>
          <w:tcPr>
            <w:tcW w:type="dxa" w:w="2160"/>
          </w:tcPr>
          <w:p>
            <w:r>
              <w:rPr>
                <w:rFonts w:ascii="Calibri" w:hAnsi="Calibri"/>
                <w:sz w:val="22"/>
              </w:rPr>
              <w:t>Q2 2026 (April–June 2026)</w:t>
            </w:r>
          </w:p>
        </w:tc>
        <w:tc>
          <w:tcPr>
            <w:tcW w:type="dxa" w:w="2160"/>
          </w:tcPr>
          <w:p>
            <w:r>
              <w:rPr>
                <w:rFonts w:ascii="Calibri" w:hAnsi="Calibri"/>
                <w:b/>
                <w:sz w:val="22"/>
              </w:rPr>
              <w:t>Prepared</w:t>
            </w:r>
          </w:p>
        </w:tc>
        <w:tc>
          <w:tcPr>
            <w:tcW w:type="dxa" w:w="2160"/>
          </w:tcPr>
          <w:p>
            <w:r>
              <w:rPr>
                <w:rFonts w:ascii="Calibri" w:hAnsi="Calibri"/>
                <w:sz w:val="22"/>
              </w:rPr>
              <w:t>July 21, 2026</w:t>
            </w:r>
          </w:p>
        </w:tc>
      </w:tr>
      <w:tr>
        <w:tc>
          <w:tcPr>
            <w:tcW w:type="dxa" w:w="2160"/>
          </w:tcPr>
          <w:p>
            <w:r>
              <w:rPr>
                <w:rFonts w:ascii="Calibri" w:hAnsi="Calibri"/>
                <w:b/>
                <w:sz w:val="22"/>
              </w:rPr>
              <w:t>Management</w:t>
            </w:r>
          </w:p>
        </w:tc>
        <w:tc>
          <w:tcPr>
            <w:tcW w:type="dxa" w:w="2160"/>
          </w:tcPr>
          <w:p>
            <w:r>
              <w:rPr>
                <w:rFonts w:ascii="Calibri" w:hAnsi="Calibri"/>
                <w:sz w:val="22"/>
              </w:rPr>
              <w:t>Judy Marks (Chair, CEO &amp; President); Cristina Mendez (EVP &amp; CFO)</w:t>
            </w:r>
          </w:p>
        </w:tc>
        <w:tc>
          <w:tcPr>
            <w:tcW w:type="dxa" w:w="2160"/>
          </w:tcPr>
          <w:p>
            <w:r>
              <w:rPr>
                <w:rFonts w:ascii="Calibri" w:hAnsi="Calibri"/>
                <w:b/>
                <w:sz w:val="22"/>
              </w:rPr>
              <w:t>Call Time</w:t>
            </w:r>
          </w:p>
        </w:tc>
        <w:tc>
          <w:tcPr>
            <w:tcW w:type="dxa" w:w="2160"/>
          </w:tcPr>
          <w:p>
            <w:r>
              <w:rPr>
                <w:rFonts w:ascii="Calibri" w:hAnsi="Calibri"/>
                <w:sz w:val="22"/>
              </w:rPr>
              <w:t>8:30 AM ET, July 22,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cautiously constructive — consensus has drifted modestly higher since the Q1 print, but the bar remains manageable given management’s explicit Q2 guidance of −3% to −5% adjusted EPS year-over-year; the biggest swing factor is whether service margin lands at or above the guided ~24% level, which would signal the H2 recovery is on track.</w:t>
      </w:r>
      <w:r>
        <w:rPr>
          <w:rFonts w:ascii="Calibri" w:hAnsi="Calibri"/>
          <w:color w:val="525866"/>
          <w:sz w:val="22"/>
        </w:rPr>
      </w:r>
    </w:p>
    <w:p>
      <w:r>
        <w:rPr>
          <w:rFonts w:ascii="Calibri" w:hAnsi="Calibri"/>
          <w:color w:val="525866"/>
          <w:sz w:val="22"/>
        </w:rPr>
        <w:t xml:space="preserve">Heading into Q2 2026 earnings, Otis faces a well-telegraphed but still consequential print. Management guided Q2 adjusted EPS down 3%–5% year-over-year at the Q1 call, implying roughly $0.99–$1.02, and consensus has settled at approximately $1.03 — sitting at the very top of that range, leaving little room for operational slippage. The </w:t>
      </w:r>
      <w:r>
        <w:rPr>
          <w:rFonts w:ascii="Calibri" w:hAnsi="Calibri"/>
          <w:b/>
          <w:color w:val="525866"/>
          <w:sz w:val="22"/>
        </w:rPr>
        <w:t>service margin trajectory is the single most important variable</w:t>
      </w:r>
      <w:r>
        <w:rPr>
          <w:rFonts w:ascii="Calibri" w:hAnsi="Calibri"/>
          <w:color w:val="525866"/>
          <w:sz w:val="22"/>
        </w:rPr>
        <w:t xml:space="preserve">: management guided Q2 service operating margin to approximately 24%, a sequential improvement from Q1’s 23.0% but still negative year-over-year, with stabilization expected in Q3 and year-over-year expansion only returning in Q4. Estimate revisions have drifted slightly upward since the Q1 print (Q2 EPS consensus moved from ~$1.01 to ~$1.03), suggesting the Street has grown incrementally more confident in the H2 recovery thesis, though the gap between consensus and the guidance midpoint is thin. The stock has declined approximately 7.6% since the Q1 earnings date versus the XLI (industrials ETF) which is up ~4.5% over the same period, reflecting multiple compression driven almost entirely by estimate cuts and margin uncertainty rather than any fundamental deterioration in the service franchise. The key wildcard is the </w:t>
      </w:r>
      <w:r>
        <w:rPr>
          <w:rFonts w:ascii="Calibri" w:hAnsi="Calibri"/>
          <w:b/>
          <w:color w:val="525866"/>
          <w:sz w:val="22"/>
        </w:rPr>
        <w:t>Middle East conflict resolution timeline</w:t>
      </w:r>
      <w:r>
        <w:rPr>
          <w:rFonts w:ascii="Calibri" w:hAnsi="Calibri"/>
          <w:color w:val="525866"/>
          <w:sz w:val="22"/>
        </w:rPr>
        <w:t>: management’s Q2 guidance assumed the conflict ends in Q2; if it has not, the company flagged a $5–$10 million per quarter profit headwind that could pressure the high end of full-year guidance. Schindler’s just-reported H1 2026 results (July 21) confirm that modernization demand globally remains robust (&gt;10% order growth) and China new installation continues to contract sharply, providing a useful directional read-through for Otis’s own Q2 dynamics.</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sits at the top of management’s guided EPS range, making service margin the higher-risk KPI — any miss versus the ~24% guided level would likely pressure the stock more than a revenue shortfall.</w:t>
      </w:r>
      <w:r>
        <w:rPr>
          <w:rFonts w:ascii="Calibri" w:hAnsi="Calibri"/>
          <w:color w:val="525866"/>
          <w:sz w:val="22"/>
        </w:rPr>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 vs. PY)</w:t>
            </w:r>
          </w:p>
        </w:tc>
        <w:tc>
          <w:tcPr>
            <w:tcW w:type="dxa" w:w="1234"/>
            <w:shd w:val="clear" w:color="auto" w:fill="3B4259"/>
          </w:tcPr>
          <w:p>
            <w:r>
              <w:rPr>
                <w:rFonts w:ascii="Calibri" w:hAnsi="Calibri"/>
                <w:b/>
                <w:color w:val="FFFFFF"/>
                <w:sz w:val="22"/>
              </w:rPr>
              <w:t>Guidance (Q2 2026)</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Sales ($B)</w:t>
            </w:r>
          </w:p>
        </w:tc>
        <w:tc>
          <w:tcPr>
            <w:tcW w:type="dxa" w:w="1234"/>
          </w:tcPr>
          <w:p>
            <w:r>
              <w:rPr>
                <w:rFonts w:ascii="Calibri" w:hAnsi="Calibri"/>
                <w:sz w:val="22"/>
              </w:rPr>
              <w:t>$3.566B</w:t>
            </w:r>
          </w:p>
        </w:tc>
        <w:tc>
          <w:tcPr>
            <w:tcW w:type="dxa" w:w="1234"/>
          </w:tcPr>
          <w:p>
            <w:r>
              <w:rPr>
                <w:rFonts w:ascii="Calibri" w:hAnsi="Calibri"/>
                <w:sz w:val="22"/>
              </w:rPr>
              <w:t>$3.595B</w:t>
            </w:r>
          </w:p>
        </w:tc>
        <w:tc>
          <w:tcPr>
            <w:tcW w:type="dxa" w:w="1234"/>
          </w:tcPr>
          <w:p>
            <w:r>
              <w:rPr>
                <w:rFonts w:ascii="Calibri" w:hAnsi="Calibri"/>
                <w:sz w:val="22"/>
              </w:rPr>
              <w:t>$3.742B</w:t>
            </w:r>
          </w:p>
        </w:tc>
        <w:tc>
          <w:tcPr>
            <w:tcW w:type="dxa" w:w="1234"/>
          </w:tcPr>
          <w:p>
            <w:r>
              <w:rPr>
                <w:rFonts w:ascii="Calibri" w:hAnsi="Calibri"/>
                <w:sz w:val="22"/>
              </w:rPr>
              <w:t>+4.1%</w:t>
            </w:r>
          </w:p>
        </w:tc>
        <w:tc>
          <w:tcPr>
            <w:tcW w:type="dxa" w:w="1234"/>
          </w:tcPr>
          <w:p>
            <w:r>
              <w:rPr>
                <w:rFonts w:ascii="Calibri" w:hAnsi="Calibri"/>
                <w:sz w:val="22"/>
              </w:rPr>
              <w:t>Organic sales to accelerate (low-to-mid single digits FY)</w:t>
            </w:r>
          </w:p>
        </w:tc>
        <w:tc>
          <w:tcPr>
            <w:tcW w:type="dxa" w:w="1234"/>
          </w:tcPr>
          <w:p>
            <w:r>
              <w:rPr>
                <w:rFonts w:ascii="Calibri" w:hAnsi="Calibri"/>
                <w:sz w:val="22"/>
              </w:rPr>
              <w:t>N/A (no specific Q2 $ guidance)</w:t>
            </w:r>
          </w:p>
        </w:tc>
      </w:tr>
      <w:tr>
        <w:tc>
          <w:tcPr>
            <w:tcW w:type="dxa" w:w="1234"/>
          </w:tcPr>
          <w:p>
            <w:r>
              <w:rPr>
                <w:rFonts w:ascii="Calibri" w:hAnsi="Calibri"/>
                <w:sz w:val="22"/>
              </w:rPr>
              <w:t>Adj. EPS (Diluted, Operating)</w:t>
            </w:r>
          </w:p>
        </w:tc>
        <w:tc>
          <w:tcPr>
            <w:tcW w:type="dxa" w:w="1234"/>
          </w:tcPr>
          <w:p>
            <w:r>
              <w:rPr>
                <w:rFonts w:ascii="Calibri" w:hAnsi="Calibri"/>
                <w:sz w:val="22"/>
              </w:rPr>
              <w:t>$0.89</w:t>
            </w:r>
          </w:p>
        </w:tc>
        <w:tc>
          <w:tcPr>
            <w:tcW w:type="dxa" w:w="1234"/>
          </w:tcPr>
          <w:p>
            <w:r>
              <w:rPr>
                <w:rFonts w:ascii="Calibri" w:hAnsi="Calibri"/>
                <w:sz w:val="22"/>
              </w:rPr>
              <w:t>$1.05</w:t>
            </w:r>
          </w:p>
        </w:tc>
        <w:tc>
          <w:tcPr>
            <w:tcW w:type="dxa" w:w="1234"/>
          </w:tcPr>
          <w:p>
            <w:r>
              <w:rPr>
                <w:rFonts w:ascii="Calibri" w:hAnsi="Calibri"/>
                <w:sz w:val="22"/>
              </w:rPr>
              <w:t>$1.033</w:t>
            </w:r>
          </w:p>
        </w:tc>
        <w:tc>
          <w:tcPr>
            <w:tcW w:type="dxa" w:w="1234"/>
          </w:tcPr>
          <w:p>
            <w:r>
              <w:rPr>
                <w:rFonts w:ascii="Calibri" w:hAnsi="Calibri"/>
                <w:sz w:val="22"/>
              </w:rPr>
              <w:t>−1.6%</w:t>
            </w:r>
          </w:p>
        </w:tc>
        <w:tc>
          <w:tcPr>
            <w:tcW w:type="dxa" w:w="1234"/>
          </w:tcPr>
          <w:p>
            <w:r>
              <w:rPr>
                <w:rFonts w:ascii="Calibri" w:hAnsi="Calibri"/>
                <w:sz w:val="22"/>
              </w:rPr>
              <w:t>−3% to −5% YoY (≈$0.99–$1.02)</w:t>
            </w:r>
          </w:p>
        </w:tc>
        <w:tc>
          <w:tcPr>
            <w:tcW w:type="dxa" w:w="1234"/>
          </w:tcPr>
          <w:p>
            <w:r>
              <w:rPr>
                <w:rFonts w:ascii="Calibri" w:hAnsi="Calibri"/>
                <w:sz w:val="22"/>
              </w:rPr>
              <w:t>+1.3% above guidance midpoint</w:t>
            </w:r>
          </w:p>
        </w:tc>
      </w:tr>
      <w:tr>
        <w:tc>
          <w:tcPr>
            <w:tcW w:type="dxa" w:w="1234"/>
          </w:tcPr>
          <w:p>
            <w:r>
              <w:rPr>
                <w:rFonts w:ascii="Calibri" w:hAnsi="Calibri"/>
                <w:sz w:val="22"/>
              </w:rPr>
              <w:t>Service Revenue ($B)</w:t>
            </w:r>
          </w:p>
        </w:tc>
        <w:tc>
          <w:tcPr>
            <w:tcW w:type="dxa" w:w="1234"/>
          </w:tcPr>
          <w:p>
            <w:r>
              <w:rPr>
                <w:rFonts w:ascii="Calibri" w:hAnsi="Calibri"/>
                <w:sz w:val="22"/>
              </w:rPr>
              <w:t>$2.417B</w:t>
            </w:r>
          </w:p>
        </w:tc>
        <w:tc>
          <w:tcPr>
            <w:tcW w:type="dxa" w:w="1234"/>
          </w:tcPr>
          <w:p>
            <w:r>
              <w:rPr>
                <w:rFonts w:ascii="Calibri" w:hAnsi="Calibri"/>
                <w:sz w:val="22"/>
              </w:rPr>
              <w:t>$2.319B</w:t>
            </w:r>
          </w:p>
        </w:tc>
        <w:tc>
          <w:tcPr>
            <w:tcW w:type="dxa" w:w="1234"/>
          </w:tcPr>
          <w:p>
            <w:r>
              <w:rPr>
                <w:rFonts w:ascii="Calibri" w:hAnsi="Calibri"/>
                <w:sz w:val="22"/>
              </w:rPr>
              <w:t>$2.482B</w:t>
            </w:r>
          </w:p>
        </w:tc>
        <w:tc>
          <w:tcPr>
            <w:tcW w:type="dxa" w:w="1234"/>
          </w:tcPr>
          <w:p>
            <w:r>
              <w:rPr>
                <w:rFonts w:ascii="Calibri" w:hAnsi="Calibri"/>
                <w:sz w:val="22"/>
              </w:rPr>
              <w:t>+7.0%</w:t>
            </w:r>
          </w:p>
        </w:tc>
        <w:tc>
          <w:tcPr>
            <w:tcW w:type="dxa" w:w="1234"/>
          </w:tcPr>
          <w:p>
            <w:r>
              <w:rPr>
                <w:rFonts w:ascii="Calibri" w:hAnsi="Calibri"/>
                <w:sz w:val="22"/>
              </w:rPr>
              <w:t>Mid-to-high single-digit organic growth (FY)</w:t>
            </w:r>
          </w:p>
        </w:tc>
        <w:tc>
          <w:tcPr>
            <w:tcW w:type="dxa" w:w="1234"/>
          </w:tcPr>
          <w:p>
            <w:r>
              <w:rPr>
                <w:rFonts w:ascii="Calibri" w:hAnsi="Calibri"/>
                <w:sz w:val="22"/>
              </w:rPr>
              <w:t>N/A (no specific Q2 $ guidance)</w:t>
            </w:r>
          </w:p>
        </w:tc>
      </w:tr>
      <w:tr>
        <w:tc>
          <w:tcPr>
            <w:tcW w:type="dxa" w:w="1234"/>
          </w:tcPr>
          <w:p>
            <w:r>
              <w:rPr>
                <w:rFonts w:ascii="Calibri" w:hAnsi="Calibri"/>
                <w:sz w:val="22"/>
              </w:rPr>
              <w:t>Service Operating Margin (%)</w:t>
            </w:r>
          </w:p>
        </w:tc>
        <w:tc>
          <w:tcPr>
            <w:tcW w:type="dxa" w:w="1234"/>
          </w:tcPr>
          <w:p>
            <w:r>
              <w:rPr>
                <w:rFonts w:ascii="Calibri" w:hAnsi="Calibri"/>
                <w:sz w:val="22"/>
              </w:rPr>
              <w:t>23.0%</w:t>
            </w:r>
          </w:p>
        </w:tc>
        <w:tc>
          <w:tcPr>
            <w:tcW w:type="dxa" w:w="1234"/>
          </w:tcPr>
          <w:p>
            <w:r>
              <w:rPr>
                <w:rFonts w:ascii="Calibri" w:hAnsi="Calibri"/>
                <w:sz w:val="22"/>
              </w:rPr>
              <w:t>24.9%</w:t>
            </w:r>
          </w:p>
        </w:tc>
        <w:tc>
          <w:tcPr>
            <w:tcW w:type="dxa" w:w="1234"/>
          </w:tcPr>
          <w:p>
            <w:r>
              <w:rPr>
                <w:rFonts w:ascii="Calibri" w:hAnsi="Calibri"/>
                <w:sz w:val="22"/>
              </w:rPr>
              <w:t>24.3%</w:t>
            </w:r>
          </w:p>
        </w:tc>
        <w:tc>
          <w:tcPr>
            <w:tcW w:type="dxa" w:w="1234"/>
          </w:tcPr>
          <w:p>
            <w:r>
              <w:rPr>
                <w:rFonts w:ascii="Calibri" w:hAnsi="Calibri"/>
                <w:sz w:val="22"/>
              </w:rPr>
              <w:t>−060 bps</w:t>
            </w:r>
          </w:p>
        </w:tc>
        <w:tc>
          <w:tcPr>
            <w:tcW w:type="dxa" w:w="1234"/>
          </w:tcPr>
          <w:p>
            <w:r>
              <w:rPr>
                <w:rFonts w:ascii="Calibri" w:hAnsi="Calibri"/>
                <w:sz w:val="22"/>
              </w:rPr>
              <w:t>~24% (negative YoY, sequential improvement from Q1)</w:t>
            </w:r>
          </w:p>
        </w:tc>
        <w:tc>
          <w:tcPr>
            <w:tcW w:type="dxa" w:w="1234"/>
          </w:tcPr>
          <w:p>
            <w:r>
              <w:rPr>
                <w:rFonts w:ascii="Calibri" w:hAnsi="Calibri"/>
                <w:sz w:val="22"/>
              </w:rPr>
              <w:t>+30 bps above guidance midpoint</w:t>
            </w:r>
          </w:p>
        </w:tc>
      </w:tr>
      <w:tr>
        <w:tc>
          <w:tcPr>
            <w:tcW w:type="dxa" w:w="1234"/>
          </w:tcPr>
          <w:p>
            <w:r>
              <w:rPr>
                <w:rFonts w:ascii="Calibri" w:hAnsi="Calibri"/>
                <w:sz w:val="22"/>
              </w:rPr>
              <w:t>Free Cash Flow ($B)</w:t>
            </w:r>
          </w:p>
        </w:tc>
        <w:tc>
          <w:tcPr>
            <w:tcW w:type="dxa" w:w="1234"/>
          </w:tcPr>
          <w:p>
            <w:r>
              <w:rPr>
                <w:rFonts w:ascii="Calibri" w:hAnsi="Calibri"/>
                <w:sz w:val="22"/>
              </w:rPr>
              <w:t>$0.380B</w:t>
            </w:r>
          </w:p>
        </w:tc>
        <w:tc>
          <w:tcPr>
            <w:tcW w:type="dxa" w:w="1234"/>
          </w:tcPr>
          <w:p>
            <w:r>
              <w:rPr>
                <w:rFonts w:ascii="Calibri" w:hAnsi="Calibri"/>
                <w:sz w:val="22"/>
              </w:rPr>
              <w:t>$0.179B</w:t>
            </w:r>
          </w:p>
        </w:tc>
        <w:tc>
          <w:tcPr>
            <w:tcW w:type="dxa" w:w="1234"/>
          </w:tcPr>
          <w:p>
            <w:r>
              <w:rPr>
                <w:rFonts w:ascii="Calibri" w:hAnsi="Calibri"/>
                <w:sz w:val="22"/>
              </w:rPr>
              <w:t>$0.370B</w:t>
            </w:r>
          </w:p>
        </w:tc>
        <w:tc>
          <w:tcPr>
            <w:tcW w:type="dxa" w:w="1234"/>
          </w:tcPr>
          <w:p>
            <w:r>
              <w:rPr>
                <w:rFonts w:ascii="Calibri" w:hAnsi="Calibri"/>
                <w:sz w:val="22"/>
              </w:rPr>
              <w:t>+106.7%</w:t>
            </w:r>
          </w:p>
        </w:tc>
        <w:tc>
          <w:tcPr>
            <w:tcW w:type="dxa" w:w="1234"/>
          </w:tcPr>
          <w:p>
            <w:r>
              <w:rPr>
                <w:rFonts w:ascii="Calibri" w:hAnsi="Calibri"/>
                <w:sz w:val="22"/>
              </w:rPr>
              <w:t>$1.60–$1.65B (FY)</w:t>
            </w:r>
          </w:p>
        </w:tc>
        <w:tc>
          <w:tcPr>
            <w:tcW w:type="dxa" w:w="1234"/>
          </w:tcPr>
          <w:p>
            <w:r>
              <w:rPr>
                <w:rFonts w:ascii="Calibri" w:hAnsi="Calibri"/>
                <w:sz w:val="22"/>
              </w:rPr>
              <w:t>N/A (no specific Q2 guidance)</w:t>
            </w:r>
          </w:p>
        </w:tc>
      </w:tr>
    </w:tbl>
    <w:p>
      <w:r>
        <w:rPr>
          <w:rFonts w:ascii="Calibri" w:hAnsi="Calibri"/>
          <w:i/>
          <w:color w:val="525866"/>
          <w:sz w:val="22"/>
        </w:rPr>
        <w:t>Sources: Visible Alpha Consensus and Actuals Data (Net Sales, Adj. EPS, Service Revenue, Service Operating Margin, Free Cash Flow); Q1 2026 Earnings Call transcript (guidance figures), July 1, 2026 Earnings Advisory.</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Adj. EPS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$0.89</w:t>
            </w:r>
          </w:p>
        </w:tc>
        <w:tc>
          <w:tcPr>
            <w:tcW w:type="dxa" w:w="1728"/>
          </w:tcPr>
          <w:p>
            <w:r>
              <w:rPr>
                <w:rFonts w:ascii="Calibri" w:hAnsi="Calibri"/>
                <w:sz w:val="22"/>
              </w:rPr>
              <w:t>$0.907</w:t>
            </w:r>
          </w:p>
        </w:tc>
        <w:tc>
          <w:tcPr>
            <w:tcW w:type="dxa" w:w="1728"/>
          </w:tcPr>
          <w:p>
            <w:r>
              <w:rPr>
                <w:rFonts w:ascii="Calibri" w:hAnsi="Calibri"/>
                <w:b/>
                <w:color w:val="E5484D"/>
                <w:sz w:val="22"/>
              </w:rPr>
              <w:t>−1.9%</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$1.03</w:t>
            </w:r>
          </w:p>
        </w:tc>
        <w:tc>
          <w:tcPr>
            <w:tcW w:type="dxa" w:w="1728"/>
          </w:tcPr>
          <w:p>
            <w:r>
              <w:rPr>
                <w:rFonts w:ascii="Calibri" w:hAnsi="Calibri"/>
                <w:sz w:val="22"/>
              </w:rPr>
              <w:t>$1.032</w:t>
            </w:r>
          </w:p>
        </w:tc>
        <w:tc>
          <w:tcPr>
            <w:tcW w:type="dxa" w:w="1728"/>
          </w:tcPr>
          <w:p>
            <w:r>
              <w:rPr>
                <w:rFonts w:ascii="Calibri" w:hAnsi="Calibri"/>
                <w:sz w:val="22"/>
              </w:rPr>
              <w:t>−0.2%</w:t>
            </w:r>
          </w:p>
        </w:tc>
        <w:tc>
          <w:tcPr>
            <w:tcW w:type="dxa" w:w="1728"/>
          </w:tcPr>
          <w:p>
            <w:r>
              <w:rPr>
                <w:rFonts w:ascii="Calibri" w:hAnsi="Calibri"/>
                <w:sz w:val="22"/>
              </w:rPr>
              <w:t>In-Line</w:t>
            </w:r>
          </w:p>
        </w:tc>
      </w:tr>
      <w:tr>
        <w:tc>
          <w:tcPr>
            <w:tcW w:type="dxa" w:w="1728"/>
          </w:tcPr>
          <w:p>
            <w:r>
              <w:rPr>
                <w:rFonts w:ascii="Calibri" w:hAnsi="Calibri"/>
                <w:sz w:val="22"/>
              </w:rPr>
              <w:t>Q3 2025</w:t>
            </w:r>
          </w:p>
        </w:tc>
        <w:tc>
          <w:tcPr>
            <w:tcW w:type="dxa" w:w="1728"/>
          </w:tcPr>
          <w:p>
            <w:r>
              <w:rPr>
                <w:rFonts w:ascii="Calibri" w:hAnsi="Calibri"/>
                <w:sz w:val="22"/>
              </w:rPr>
              <w:t>$1.05</w:t>
            </w:r>
          </w:p>
        </w:tc>
        <w:tc>
          <w:tcPr>
            <w:tcW w:type="dxa" w:w="1728"/>
          </w:tcPr>
          <w:p>
            <w:r>
              <w:rPr>
                <w:rFonts w:ascii="Calibri" w:hAnsi="Calibri"/>
                <w:sz w:val="22"/>
              </w:rPr>
              <w:t>$1.008</w:t>
            </w:r>
          </w:p>
        </w:tc>
        <w:tc>
          <w:tcPr>
            <w:tcW w:type="dxa" w:w="1728"/>
          </w:tcPr>
          <w:p>
            <w:r>
              <w:rPr>
                <w:rFonts w:ascii="Calibri" w:hAnsi="Calibri"/>
                <w:b/>
                <w:color w:val="30A46C"/>
                <w:sz w:val="22"/>
              </w:rPr>
              <w:t>+4.2%</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$1.05</w:t>
            </w:r>
          </w:p>
        </w:tc>
        <w:tc>
          <w:tcPr>
            <w:tcW w:type="dxa" w:w="1728"/>
          </w:tcPr>
          <w:p>
            <w:r>
              <w:rPr>
                <w:rFonts w:ascii="Calibri" w:hAnsi="Calibri"/>
                <w:sz w:val="22"/>
              </w:rPr>
              <w:t>$1.021</w:t>
            </w:r>
          </w:p>
        </w:tc>
        <w:tc>
          <w:tcPr>
            <w:tcW w:type="dxa" w:w="1728"/>
          </w:tcPr>
          <w:p>
            <w:r>
              <w:rPr>
                <w:rFonts w:ascii="Calibri" w:hAnsi="Calibri"/>
                <w:b/>
                <w:color w:val="30A46C"/>
                <w:sz w:val="22"/>
              </w:rPr>
              <w:t>+2.8%</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$0.92</w:t>
            </w:r>
          </w:p>
        </w:tc>
        <w:tc>
          <w:tcPr>
            <w:tcW w:type="dxa" w:w="1728"/>
          </w:tcPr>
          <w:p>
            <w:r>
              <w:rPr>
                <w:rFonts w:ascii="Calibri" w:hAnsi="Calibri"/>
                <w:sz w:val="22"/>
              </w:rPr>
              <w:t>$0.905</w:t>
            </w:r>
          </w:p>
        </w:tc>
        <w:tc>
          <w:tcPr>
            <w:tcW w:type="dxa" w:w="1728"/>
          </w:tcPr>
          <w:p>
            <w:r>
              <w:rPr>
                <w:rFonts w:ascii="Calibri" w:hAnsi="Calibri"/>
                <w:b/>
                <w:color w:val="30A46C"/>
                <w:sz w:val="22"/>
              </w:rPr>
              <w:t>+1.7%</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$0.93</w:t>
            </w:r>
          </w:p>
        </w:tc>
        <w:tc>
          <w:tcPr>
            <w:tcW w:type="dxa" w:w="1728"/>
          </w:tcPr>
          <w:p>
            <w:r>
              <w:rPr>
                <w:rFonts w:ascii="Calibri" w:hAnsi="Calibri"/>
                <w:sz w:val="22"/>
              </w:rPr>
              <w:t>$0.959</w:t>
            </w:r>
          </w:p>
        </w:tc>
        <w:tc>
          <w:tcPr>
            <w:tcW w:type="dxa" w:w="1728"/>
          </w:tcPr>
          <w:p>
            <w:r>
              <w:rPr>
                <w:rFonts w:ascii="Calibri" w:hAnsi="Calibri"/>
                <w:b/>
                <w:color w:val="E5484D"/>
                <w:sz w:val="22"/>
              </w:rPr>
              <w:t>−3.0%</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$0.96</w:t>
            </w:r>
          </w:p>
        </w:tc>
        <w:tc>
          <w:tcPr>
            <w:tcW w:type="dxa" w:w="1728"/>
          </w:tcPr>
          <w:p>
            <w:r>
              <w:rPr>
                <w:rFonts w:ascii="Calibri" w:hAnsi="Calibri"/>
                <w:sz w:val="22"/>
              </w:rPr>
              <w:t>$0.967</w:t>
            </w:r>
          </w:p>
        </w:tc>
        <w:tc>
          <w:tcPr>
            <w:tcW w:type="dxa" w:w="1728"/>
          </w:tcPr>
          <w:p>
            <w:r>
              <w:rPr>
                <w:rFonts w:ascii="Calibri" w:hAnsi="Calibri"/>
                <w:sz w:val="22"/>
              </w:rPr>
              <w:t>−0.7%</w:t>
            </w:r>
          </w:p>
        </w:tc>
        <w:tc>
          <w:tcPr>
            <w:tcW w:type="dxa" w:w="1728"/>
          </w:tcPr>
          <w:p>
            <w:r>
              <w:rPr>
                <w:rFonts w:ascii="Calibri" w:hAnsi="Calibri"/>
                <w:sz w:val="22"/>
              </w:rPr>
              <w:t>In-Line</w:t>
            </w:r>
          </w:p>
        </w:tc>
      </w:tr>
      <w:tr>
        <w:tc>
          <w:tcPr>
            <w:tcW w:type="dxa" w:w="1728"/>
          </w:tcPr>
          <w:p>
            <w:r>
              <w:rPr>
                <w:rFonts w:ascii="Calibri" w:hAnsi="Calibri"/>
                <w:sz w:val="22"/>
              </w:rPr>
              <w:t>Q2 2024</w:t>
            </w:r>
          </w:p>
        </w:tc>
        <w:tc>
          <w:tcPr>
            <w:tcW w:type="dxa" w:w="1728"/>
          </w:tcPr>
          <w:p>
            <w:r>
              <w:rPr>
                <w:rFonts w:ascii="Calibri" w:hAnsi="Calibri"/>
                <w:sz w:val="22"/>
              </w:rPr>
              <w:t>$1.06</w:t>
            </w:r>
          </w:p>
        </w:tc>
        <w:tc>
          <w:tcPr>
            <w:tcW w:type="dxa" w:w="1728"/>
          </w:tcPr>
          <w:p>
            <w:r>
              <w:rPr>
                <w:rFonts w:ascii="Calibri" w:hAnsi="Calibri"/>
                <w:sz w:val="22"/>
              </w:rPr>
              <w:t>$1.025</w:t>
            </w:r>
          </w:p>
        </w:tc>
        <w:tc>
          <w:tcPr>
            <w:tcW w:type="dxa" w:w="1728"/>
          </w:tcPr>
          <w:p>
            <w:r>
              <w:rPr>
                <w:rFonts w:ascii="Calibri" w:hAnsi="Calibri"/>
                <w:b/>
                <w:color w:val="30A46C"/>
                <w:sz w:val="22"/>
              </w:rPr>
              <w:t>+3.4%</w:t>
            </w:r>
          </w:p>
        </w:tc>
        <w:tc>
          <w:tcPr>
            <w:tcW w:type="dxa" w:w="1728"/>
          </w:tcPr>
          <w:p>
            <w:r>
              <w:rPr>
                <w:rFonts w:ascii="Calibri" w:hAnsi="Calibri"/>
                <w:b/>
                <w:color w:val="30A46C"/>
                <w:sz w:val="22"/>
              </w:rPr>
              <w:t>Beat</w:t>
            </w:r>
          </w:p>
        </w:tc>
      </w:tr>
    </w:tbl>
    <w:p>
      <w:pPr>
        <w:pStyle w:val="Heading4"/>
      </w:pPr>
      <w:r>
        <w:rPr>
          <w:rFonts w:ascii="Calibri" w:hAnsi="Calibri"/>
          <w:b/>
          <w:color w:val="3B4259"/>
          <w:sz w:val="22"/>
        </w:rPr>
        <w:t>Service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$2.417B</w:t>
            </w:r>
          </w:p>
        </w:tc>
        <w:tc>
          <w:tcPr>
            <w:tcW w:type="dxa" w:w="1728"/>
          </w:tcPr>
          <w:p>
            <w:r>
              <w:rPr>
                <w:rFonts w:ascii="Calibri" w:hAnsi="Calibri"/>
                <w:sz w:val="22"/>
              </w:rPr>
              <w:t>$2.380B</w:t>
            </w:r>
          </w:p>
        </w:tc>
        <w:tc>
          <w:tcPr>
            <w:tcW w:type="dxa" w:w="1728"/>
          </w:tcPr>
          <w:p>
            <w:r>
              <w:rPr>
                <w:rFonts w:ascii="Calibri" w:hAnsi="Calibri"/>
                <w:b/>
                <w:color w:val="30A46C"/>
                <w:sz w:val="22"/>
              </w:rPr>
              <w:t>+1.6%</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$2.503B</w:t>
            </w:r>
          </w:p>
        </w:tc>
        <w:tc>
          <w:tcPr>
            <w:tcW w:type="dxa" w:w="1728"/>
          </w:tcPr>
          <w:p>
            <w:r>
              <w:rPr>
                <w:rFonts w:ascii="Calibri" w:hAnsi="Calibri"/>
                <w:sz w:val="22"/>
              </w:rPr>
              <w:t>$2.529B</w:t>
            </w:r>
          </w:p>
        </w:tc>
        <w:tc>
          <w:tcPr>
            <w:tcW w:type="dxa" w:w="1728"/>
          </w:tcPr>
          <w:p>
            <w:r>
              <w:rPr>
                <w:rFonts w:ascii="Calibri" w:hAnsi="Calibri"/>
                <w:b/>
                <w:color w:val="E5484D"/>
                <w:sz w:val="22"/>
              </w:rPr>
              <w:t>−1.0%</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$2.433B</w:t>
            </w:r>
          </w:p>
        </w:tc>
        <w:tc>
          <w:tcPr>
            <w:tcW w:type="dxa" w:w="1728"/>
          </w:tcPr>
          <w:p>
            <w:r>
              <w:rPr>
                <w:rFonts w:ascii="Calibri" w:hAnsi="Calibri"/>
                <w:sz w:val="22"/>
              </w:rPr>
              <w:t>$2.409B</w:t>
            </w:r>
          </w:p>
        </w:tc>
        <w:tc>
          <w:tcPr>
            <w:tcW w:type="dxa" w:w="1728"/>
          </w:tcPr>
          <w:p>
            <w:r>
              <w:rPr>
                <w:rFonts w:ascii="Calibri" w:hAnsi="Calibri"/>
                <w:b/>
                <w:color w:val="30A46C"/>
                <w:sz w:val="22"/>
              </w:rPr>
              <w:t>+1.0%</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$2.319B</w:t>
            </w:r>
          </w:p>
        </w:tc>
        <w:tc>
          <w:tcPr>
            <w:tcW w:type="dxa" w:w="1728"/>
          </w:tcPr>
          <w:p>
            <w:r>
              <w:rPr>
                <w:rFonts w:ascii="Calibri" w:hAnsi="Calibri"/>
                <w:sz w:val="22"/>
              </w:rPr>
              <w:t>$2.330B</w:t>
            </w:r>
          </w:p>
        </w:tc>
        <w:tc>
          <w:tcPr>
            <w:tcW w:type="dxa" w:w="1728"/>
          </w:tcPr>
          <w:p>
            <w:r>
              <w:rPr>
                <w:rFonts w:ascii="Calibri" w:hAnsi="Calibri"/>
                <w:sz w:val="22"/>
              </w:rPr>
              <w:t>−0.5%</w:t>
            </w:r>
          </w:p>
        </w:tc>
        <w:tc>
          <w:tcPr>
            <w:tcW w:type="dxa" w:w="1728"/>
          </w:tcPr>
          <w:p>
            <w:r>
              <w:rPr>
                <w:rFonts w:ascii="Calibri" w:hAnsi="Calibri"/>
                <w:sz w:val="22"/>
              </w:rPr>
              <w:t>In-Line</w:t>
            </w:r>
          </w:p>
        </w:tc>
      </w:tr>
      <w:tr>
        <w:tc>
          <w:tcPr>
            <w:tcW w:type="dxa" w:w="1728"/>
          </w:tcPr>
          <w:p>
            <w:r>
              <w:rPr>
                <w:rFonts w:ascii="Calibri" w:hAnsi="Calibri"/>
                <w:sz w:val="22"/>
              </w:rPr>
              <w:t>Q1 2025</w:t>
            </w:r>
          </w:p>
        </w:tc>
        <w:tc>
          <w:tcPr>
            <w:tcW w:type="dxa" w:w="1728"/>
          </w:tcPr>
          <w:p>
            <w:r>
              <w:rPr>
                <w:rFonts w:ascii="Calibri" w:hAnsi="Calibri"/>
                <w:sz w:val="22"/>
              </w:rPr>
              <w:t>$2.187B</w:t>
            </w:r>
          </w:p>
        </w:tc>
        <w:tc>
          <w:tcPr>
            <w:tcW w:type="dxa" w:w="1728"/>
          </w:tcPr>
          <w:p>
            <w:r>
              <w:rPr>
                <w:rFonts w:ascii="Calibri" w:hAnsi="Calibri"/>
                <w:sz w:val="22"/>
              </w:rPr>
              <w:t>$2.211B</w:t>
            </w:r>
          </w:p>
        </w:tc>
        <w:tc>
          <w:tcPr>
            <w:tcW w:type="dxa" w:w="1728"/>
          </w:tcPr>
          <w:p>
            <w:r>
              <w:rPr>
                <w:rFonts w:ascii="Calibri" w:hAnsi="Calibri"/>
                <w:b/>
                <w:color w:val="E5484D"/>
                <w:sz w:val="22"/>
              </w:rPr>
              <w:t>−1.1%</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$2.318B</w:t>
            </w:r>
          </w:p>
        </w:tc>
        <w:tc>
          <w:tcPr>
            <w:tcW w:type="dxa" w:w="1728"/>
          </w:tcPr>
          <w:p>
            <w:r>
              <w:rPr>
                <w:rFonts w:ascii="Calibri" w:hAnsi="Calibri"/>
                <w:sz w:val="22"/>
              </w:rPr>
              <w:t>$2.302B</w:t>
            </w:r>
          </w:p>
        </w:tc>
        <w:tc>
          <w:tcPr>
            <w:tcW w:type="dxa" w:w="1728"/>
          </w:tcPr>
          <w:p>
            <w:r>
              <w:rPr>
                <w:rFonts w:ascii="Calibri" w:hAnsi="Calibri"/>
                <w:b/>
                <w:color w:val="30A46C"/>
                <w:sz w:val="22"/>
              </w:rPr>
              <w:t>+0.7%</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$2.239B</w:t>
            </w:r>
          </w:p>
        </w:tc>
        <w:tc>
          <w:tcPr>
            <w:tcW w:type="dxa" w:w="1728"/>
          </w:tcPr>
          <w:p>
            <w:r>
              <w:rPr>
                <w:rFonts w:ascii="Calibri" w:hAnsi="Calibri"/>
                <w:sz w:val="22"/>
              </w:rPr>
              <w:t>$2.208B</w:t>
            </w:r>
          </w:p>
        </w:tc>
        <w:tc>
          <w:tcPr>
            <w:tcW w:type="dxa" w:w="1728"/>
          </w:tcPr>
          <w:p>
            <w:r>
              <w:rPr>
                <w:rFonts w:ascii="Calibri" w:hAnsi="Calibri"/>
                <w:b/>
                <w:color w:val="30A46C"/>
                <w:sz w:val="22"/>
              </w:rPr>
              <w:t>+1.4%</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$2.180B</w:t>
            </w:r>
          </w:p>
        </w:tc>
        <w:tc>
          <w:tcPr>
            <w:tcW w:type="dxa" w:w="1728"/>
          </w:tcPr>
          <w:p>
            <w:r>
              <w:rPr>
                <w:rFonts w:ascii="Calibri" w:hAnsi="Calibri"/>
                <w:sz w:val="22"/>
              </w:rPr>
              <w:t>$2.230B</w:t>
            </w:r>
          </w:p>
        </w:tc>
        <w:tc>
          <w:tcPr>
            <w:tcW w:type="dxa" w:w="1728"/>
          </w:tcPr>
          <w:p>
            <w:r>
              <w:rPr>
                <w:rFonts w:ascii="Calibri" w:hAnsi="Calibri"/>
                <w:b/>
                <w:color w:val="E5484D"/>
                <w:sz w:val="22"/>
              </w:rPr>
              <w:t>−2.2%</w:t>
            </w:r>
          </w:p>
        </w:tc>
        <w:tc>
          <w:tcPr>
            <w:tcW w:type="dxa" w:w="1728"/>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color w:val="525866"/>
          <w:sz w:val="22"/>
        </w:rPr>
        <w:t>Otis has beaten EPS consensus in 5 of the last 8 quarters, with the two most recent misses (Q1 2026 and Q4 2024) both driven by margin headwinds rather than revenue shortfalls; service revenue has been more mixed, with 4 beats and 4 misses/in-lines, suggesting the Street has historically struggled to model service revenue precisely.</w:t>
      </w:r>
      <w:r>
        <w:rPr>
          <w:rFonts w:ascii="Calibri" w:hAnsi="Calibri"/>
          <w:color w:val="525866"/>
          <w:sz w:val="22"/>
        </w:rPr>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not been formally revised since the Q1 2026 earnings call (April 22, 2026); the full-year EPS range was narrowed and the high end cut at that print, and no subsequent 8-K or conference update has changed the numbers. Management tone remains cautiously confident in the H2 recovery but has not provided incremental positive signals.</w:t>
      </w:r>
      <w:r>
        <w:rPr>
          <w:rFonts w:ascii="Calibri" w:hAnsi="Calibri"/>
          <w:color w:val="525866"/>
          <w:sz w:val="22"/>
        </w:rPr>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22)</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Net Sales</w:t>
            </w:r>
          </w:p>
        </w:tc>
        <w:tc>
          <w:tcPr>
            <w:tcW w:type="dxa" w:w="1728"/>
          </w:tcPr>
          <w:p>
            <w:r>
              <w:rPr>
                <w:rFonts w:ascii="Calibri" w:hAnsi="Calibri"/>
                <w:sz w:val="22"/>
              </w:rPr>
              <w:t>$15.1B–$15.3B; organic growth low-to-mid single digits</w:t>
            </w:r>
          </w:p>
        </w:tc>
        <w:tc>
          <w:tcPr>
            <w:tcW w:type="dxa" w:w="1728"/>
          </w:tcPr>
          <w:p>
            <w:r>
              <w:rPr>
                <w:rFonts w:ascii="Calibri" w:hAnsi="Calibri"/>
                <w:sz w:val="22"/>
              </w:rPr>
              <w:t>—</w:t>
            </w:r>
          </w:p>
        </w:tc>
        <w:tc>
          <w:tcPr>
            <w:tcW w:type="dxa" w:w="1728"/>
          </w:tcPr>
          <w:p>
            <w:r>
              <w:rPr>
                <w:rFonts w:ascii="Calibri" w:hAnsi="Calibri"/>
                <w:sz w:val="22"/>
              </w:rPr>
              <w:t>$15.12B</w:t>
            </w:r>
          </w:p>
        </w:tc>
        <w:tc>
          <w:tcPr>
            <w:tcW w:type="dxa" w:w="1728"/>
          </w:tcPr>
          <w:p>
            <w:r>
              <w:rPr>
                <w:rFonts w:ascii="Calibri" w:hAnsi="Calibri"/>
                <w:sz w:val="22"/>
              </w:rPr>
              <w:t>No post-earnings revision; consensus at low end of range</w:t>
            </w:r>
          </w:p>
        </w:tc>
      </w:tr>
      <w:tr>
        <w:tc>
          <w:tcPr>
            <w:tcW w:type="dxa" w:w="1728"/>
          </w:tcPr>
          <w:p>
            <w:r>
              <w:rPr>
                <w:rFonts w:ascii="Calibri" w:hAnsi="Calibri"/>
                <w:sz w:val="22"/>
              </w:rPr>
              <w:t>FY 2026 Adj. EPS</w:t>
            </w:r>
          </w:p>
        </w:tc>
        <w:tc>
          <w:tcPr>
            <w:tcW w:type="dxa" w:w="1728"/>
          </w:tcPr>
          <w:p>
            <w:r>
              <w:rPr>
                <w:rFonts w:ascii="Calibri" w:hAnsi="Calibri"/>
                <w:sz w:val="22"/>
              </w:rPr>
              <w:t>$4.20–$4.24 (narrowed from prior range; high end cut)</w:t>
            </w:r>
          </w:p>
        </w:tc>
        <w:tc>
          <w:tcPr>
            <w:tcW w:type="dxa" w:w="1728"/>
          </w:tcPr>
          <w:p>
            <w:r>
              <w:rPr>
                <w:rFonts w:ascii="Calibri" w:hAnsi="Calibri"/>
                <w:sz w:val="22"/>
              </w:rPr>
              <w:t>—</w:t>
            </w:r>
          </w:p>
        </w:tc>
        <w:tc>
          <w:tcPr>
            <w:tcW w:type="dxa" w:w="1728"/>
          </w:tcPr>
          <w:p>
            <w:r>
              <w:rPr>
                <w:rFonts w:ascii="Calibri" w:hAnsi="Calibri"/>
                <w:sz w:val="22"/>
              </w:rPr>
              <w:t>$4.195</w:t>
            </w:r>
          </w:p>
        </w:tc>
        <w:tc>
          <w:tcPr>
            <w:tcW w:type="dxa" w:w="1728"/>
          </w:tcPr>
          <w:p>
            <w:r>
              <w:rPr>
                <w:rFonts w:ascii="Calibri" w:hAnsi="Calibri"/>
                <w:sz w:val="22"/>
              </w:rPr>
              <w:t>No post-earnings revision; consensus just below guidance midpoint ($4.22)</w:t>
            </w:r>
          </w:p>
        </w:tc>
      </w:tr>
      <w:tr>
        <w:tc>
          <w:tcPr>
            <w:tcW w:type="dxa" w:w="1728"/>
          </w:tcPr>
          <w:p>
            <w:r>
              <w:rPr>
                <w:rFonts w:ascii="Calibri" w:hAnsi="Calibri"/>
                <w:sz w:val="22"/>
              </w:rPr>
              <w:t>FY 2026 Adj. Operating Profit</w:t>
            </w:r>
          </w:p>
        </w:tc>
        <w:tc>
          <w:tcPr>
            <w:tcW w:type="dxa" w:w="1728"/>
          </w:tcPr>
          <w:p>
            <w:r>
              <w:rPr>
                <w:rFonts w:ascii="Calibri" w:hAnsi="Calibri"/>
                <w:sz w:val="22"/>
              </w:rPr>
              <w:t>~$2.5B; up $20M–$60M at constant currency</w:t>
            </w:r>
          </w:p>
        </w:tc>
        <w:tc>
          <w:tcPr>
            <w:tcW w:type="dxa" w:w="1728"/>
          </w:tcPr>
          <w:p>
            <w:r>
              <w:rPr>
                <w:rFonts w:ascii="Calibri" w:hAnsi="Calibri"/>
                <w:sz w:val="22"/>
              </w:rPr>
              <w:t>—</w:t>
            </w:r>
          </w:p>
        </w:tc>
        <w:tc>
          <w:tcPr>
            <w:tcW w:type="dxa" w:w="1728"/>
          </w:tcPr>
          <w:p>
            <w:r>
              <w:rPr>
                <w:rFonts w:ascii="Calibri" w:hAnsi="Calibri"/>
                <w:sz w:val="22"/>
              </w:rPr>
              <w:t>N/A — not tracked separately in VA</w:t>
            </w:r>
          </w:p>
        </w:tc>
        <w:tc>
          <w:tcPr>
            <w:tcW w:type="dxa" w:w="1728"/>
          </w:tcPr>
          <w:p>
            <w:r>
              <w:rPr>
                <w:rFonts w:ascii="Calibri" w:hAnsi="Calibri"/>
                <w:sz w:val="22"/>
              </w:rPr>
              <w:t>No post-earnings revision</w:t>
            </w:r>
          </w:p>
        </w:tc>
      </w:tr>
      <w:tr>
        <w:tc>
          <w:tcPr>
            <w:tcW w:type="dxa" w:w="1728"/>
          </w:tcPr>
          <w:p>
            <w:r>
              <w:rPr>
                <w:rFonts w:ascii="Calibri" w:hAnsi="Calibri"/>
                <w:sz w:val="22"/>
              </w:rPr>
              <w:t>FY 2026 Adj. Free Cash Flow</w:t>
            </w:r>
          </w:p>
        </w:tc>
        <w:tc>
          <w:tcPr>
            <w:tcW w:type="dxa" w:w="1728"/>
          </w:tcPr>
          <w:p>
            <w:r>
              <w:rPr>
                <w:rFonts w:ascii="Calibri" w:hAnsi="Calibri"/>
                <w:sz w:val="22"/>
              </w:rPr>
              <w:t>$1.60B–$1.65B</w:t>
            </w:r>
          </w:p>
        </w:tc>
        <w:tc>
          <w:tcPr>
            <w:tcW w:type="dxa" w:w="1728"/>
          </w:tcPr>
          <w:p>
            <w:r>
              <w:rPr>
                <w:rFonts w:ascii="Calibri" w:hAnsi="Calibri"/>
                <w:sz w:val="22"/>
              </w:rPr>
              <w:t>—</w:t>
            </w:r>
          </w:p>
        </w:tc>
        <w:tc>
          <w:tcPr>
            <w:tcW w:type="dxa" w:w="1728"/>
          </w:tcPr>
          <w:p>
            <w:r>
              <w:rPr>
                <w:rFonts w:ascii="Calibri" w:hAnsi="Calibri"/>
                <w:sz w:val="22"/>
              </w:rPr>
              <w:t>$1.613B</w:t>
            </w:r>
          </w:p>
        </w:tc>
        <w:tc>
          <w:tcPr>
            <w:tcW w:type="dxa" w:w="1728"/>
          </w:tcPr>
          <w:p>
            <w:r>
              <w:rPr>
                <w:rFonts w:ascii="Calibri" w:hAnsi="Calibri"/>
                <w:sz w:val="22"/>
              </w:rPr>
              <w:t>No post-earnings revision; consensus within guidance range</w:t>
            </w:r>
          </w:p>
        </w:tc>
      </w:tr>
      <w:tr>
        <w:tc>
          <w:tcPr>
            <w:tcW w:type="dxa" w:w="1728"/>
          </w:tcPr>
          <w:p>
            <w:r>
              <w:rPr>
                <w:rFonts w:ascii="Calibri" w:hAnsi="Calibri"/>
                <w:sz w:val="22"/>
              </w:rPr>
              <w:t>Q2 2026 Adj. EPS</w:t>
            </w:r>
          </w:p>
        </w:tc>
        <w:tc>
          <w:tcPr>
            <w:tcW w:type="dxa" w:w="1728"/>
          </w:tcPr>
          <w:p>
            <w:r>
              <w:rPr>
                <w:rFonts w:ascii="Calibri" w:hAnsi="Calibri"/>
                <w:sz w:val="22"/>
              </w:rPr>
              <w:t>−3% to −5% YoY (≈$0.99–$1.02)</w:t>
            </w:r>
          </w:p>
        </w:tc>
        <w:tc>
          <w:tcPr>
            <w:tcW w:type="dxa" w:w="1728"/>
          </w:tcPr>
          <w:p>
            <w:r>
              <w:rPr>
                <w:rFonts w:ascii="Calibri" w:hAnsi="Calibri"/>
                <w:sz w:val="22"/>
              </w:rPr>
              <w:t>—</w:t>
            </w:r>
          </w:p>
        </w:tc>
        <w:tc>
          <w:tcPr>
            <w:tcW w:type="dxa" w:w="1728"/>
          </w:tcPr>
          <w:p>
            <w:r>
              <w:rPr>
                <w:rFonts w:ascii="Calibri" w:hAnsi="Calibri"/>
                <w:sz w:val="22"/>
              </w:rPr>
              <w:t>$1.033</w:t>
            </w:r>
          </w:p>
        </w:tc>
        <w:tc>
          <w:tcPr>
            <w:tcW w:type="dxa" w:w="1728"/>
          </w:tcPr>
          <w:p>
            <w:r>
              <w:rPr>
                <w:rFonts w:ascii="Calibri" w:hAnsi="Calibri"/>
                <w:sz w:val="22"/>
              </w:rPr>
              <w:t>Consensus sits ~1.3% above guidance midpoint; Street slightly more optimistic than management</w:t>
            </w:r>
          </w:p>
        </w:tc>
      </w:tr>
      <w:tr>
        <w:tc>
          <w:tcPr>
            <w:tcW w:type="dxa" w:w="1728"/>
          </w:tcPr>
          <w:p>
            <w:r>
              <w:rPr>
                <w:rFonts w:ascii="Calibri" w:hAnsi="Calibri"/>
                <w:sz w:val="22"/>
              </w:rPr>
              <w:t>Q2 2026 Service Margin</w:t>
            </w:r>
          </w:p>
        </w:tc>
        <w:tc>
          <w:tcPr>
            <w:tcW w:type="dxa" w:w="1728"/>
          </w:tcPr>
          <w:p>
            <w:r>
              <w:rPr>
                <w:rFonts w:ascii="Calibri" w:hAnsi="Calibri"/>
                <w:sz w:val="22"/>
              </w:rPr>
              <w:t>~24% (negative YoY; sequential improvement from Q1’s 23.0%)</w:t>
            </w:r>
          </w:p>
        </w:tc>
        <w:tc>
          <w:tcPr>
            <w:tcW w:type="dxa" w:w="1728"/>
          </w:tcPr>
          <w:p>
            <w:r>
              <w:rPr>
                <w:rFonts w:ascii="Calibri" w:hAnsi="Calibri"/>
                <w:sz w:val="22"/>
              </w:rPr>
              <w:t>—</w:t>
            </w:r>
          </w:p>
        </w:tc>
        <w:tc>
          <w:tcPr>
            <w:tcW w:type="dxa" w:w="1728"/>
          </w:tcPr>
          <w:p>
            <w:r>
              <w:rPr>
                <w:rFonts w:ascii="Calibri" w:hAnsi="Calibri"/>
                <w:sz w:val="22"/>
              </w:rPr>
              <w:t>24.3%</w:t>
            </w:r>
          </w:p>
        </w:tc>
        <w:tc>
          <w:tcPr>
            <w:tcW w:type="dxa" w:w="1728"/>
          </w:tcPr>
          <w:p>
            <w:r>
              <w:rPr>
                <w:rFonts w:ascii="Calibri" w:hAnsi="Calibri"/>
                <w:sz w:val="22"/>
              </w:rPr>
              <w:t>Consensus ~30 bps above guidance; key risk if Middle East headwinds persist</w:t>
            </w:r>
          </w:p>
        </w:tc>
      </w:tr>
      <w:tr>
        <w:tc>
          <w:tcPr>
            <w:tcW w:type="dxa" w:w="1728"/>
          </w:tcPr>
          <w:p>
            <w:r>
              <w:rPr>
                <w:rFonts w:ascii="Calibri" w:hAnsi="Calibri"/>
                <w:sz w:val="22"/>
              </w:rPr>
              <w:t>FY 2026 Service Margin</w:t>
            </w:r>
          </w:p>
        </w:tc>
        <w:tc>
          <w:tcPr>
            <w:tcW w:type="dxa" w:w="1728"/>
          </w:tcPr>
          <w:p>
            <w:r>
              <w:rPr>
                <w:rFonts w:ascii="Calibri" w:hAnsi="Calibri"/>
                <w:sz w:val="22"/>
              </w:rPr>
              <w:t>High 24s (slightly below 2025’s ~25.1%)</w:t>
            </w:r>
          </w:p>
        </w:tc>
        <w:tc>
          <w:tcPr>
            <w:tcW w:type="dxa" w:w="1728"/>
          </w:tcPr>
          <w:p>
            <w:r>
              <w:rPr>
                <w:rFonts w:ascii="Calibri" w:hAnsi="Calibri"/>
                <w:sz w:val="22"/>
              </w:rPr>
              <w:t>—</w:t>
            </w:r>
          </w:p>
        </w:tc>
        <w:tc>
          <w:tcPr>
            <w:tcW w:type="dxa" w:w="1728"/>
          </w:tcPr>
          <w:p>
            <w:r>
              <w:rPr>
                <w:rFonts w:ascii="Calibri" w:hAnsi="Calibri"/>
                <w:sz w:val="22"/>
              </w:rPr>
              <w:t>24.7%</w:t>
            </w:r>
          </w:p>
        </w:tc>
        <w:tc>
          <w:tcPr>
            <w:tcW w:type="dxa" w:w="1728"/>
          </w:tcPr>
          <w:p>
            <w:r>
              <w:rPr>
                <w:rFonts w:ascii="Calibri" w:hAnsi="Calibri"/>
                <w:sz w:val="22"/>
              </w:rPr>
              <w:t>Consensus consistent with guidance; YoY expansion expected only in Q4</w:t>
            </w:r>
          </w:p>
        </w:tc>
      </w:tr>
    </w:tbl>
    <w:p>
      <w:r>
        <w:rPr>
          <w:rFonts w:ascii="Calibri" w:hAnsi="Calibri"/>
          <w:i/>
          <w:color w:val="525866"/>
          <w:sz w:val="22"/>
        </w:rPr>
        <w:t>Source: Q1 2026 Earnings Call transcript (April 22, 2026); Visible Alpha Consensus and Actuals Data.</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drifted modestly higher since the Q1 print — Q2 EPS consensus is up ~2.2% from the post-print baseline and FY EPS is up ~0.6% — suggesting the Street has grown incrementally more confident in the H2 recovery, though the gap between consensus and guidance remains narrow and does not represent meaningful cushion.</w:t>
      </w:r>
      <w:r>
        <w:rPr>
          <w:rFonts w:ascii="Calibri" w:hAnsi="Calibri"/>
          <w:color w:val="525866"/>
          <w:sz w:val="22"/>
        </w:rPr>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(Apr 29, 2026 — 5 days post Q1 print)</w:t>
            </w:r>
          </w:p>
        </w:tc>
        <w:tc>
          <w:tcPr>
            <w:tcW w:type="dxa" w:w="1080"/>
            <w:shd w:val="clear" w:color="auto" w:fill="3B4259"/>
          </w:tcPr>
          <w:p>
            <w:r>
              <w:rPr>
                <w:rFonts w:ascii="Calibri" w:hAnsi="Calibri"/>
                <w:b/>
                <w:color w:val="FFFFFF"/>
                <w:sz w:val="22"/>
              </w:rPr>
              <w:t>Current Consensus (Jul 21,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$1.011</w:t>
            </w:r>
          </w:p>
        </w:tc>
        <w:tc>
          <w:tcPr>
            <w:tcW w:type="dxa" w:w="1080"/>
          </w:tcPr>
          <w:p>
            <w:r>
              <w:rPr>
                <w:rFonts w:ascii="Calibri" w:hAnsi="Calibri"/>
                <w:sz w:val="22"/>
              </w:rPr>
              <w:t>$1.033</w:t>
            </w:r>
          </w:p>
        </w:tc>
        <w:tc>
          <w:tcPr>
            <w:tcW w:type="dxa" w:w="1080"/>
          </w:tcPr>
          <w:p>
            <w:r>
              <w:rPr>
                <w:rFonts w:ascii="Calibri" w:hAnsi="Calibri"/>
                <w:b/>
                <w:color w:val="30A46C"/>
                <w:sz w:val="22"/>
              </w:rPr>
              <w:t>+2.2%</w:t>
            </w:r>
          </w:p>
        </w:tc>
        <w:tc>
          <w:tcPr>
            <w:tcW w:type="dxa" w:w="1080"/>
          </w:tcPr>
          <w:p>
            <w:r>
              <w:rPr>
                <w:rFonts w:ascii="Calibri" w:hAnsi="Calibri"/>
                <w:sz w:val="22"/>
              </w:rPr>
              <w:t>−3% to −5% YoY (≈$0.99–$1.02)</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+1.3% above midpoint</w:t>
            </w:r>
          </w:p>
        </w:tc>
      </w:tr>
      <w:tr>
        <w:tc>
          <w:tcPr>
            <w:tcW w:type="dxa" w:w="1080"/>
          </w:tcPr>
          <w:p>
            <w:r>
              <w:rPr>
                <w:rFonts w:ascii="Calibri" w:hAnsi="Calibri"/>
                <w:sz w:val="22"/>
              </w:rPr>
              <w:t>Adj. EPS — FY 2026</w:t>
            </w:r>
          </w:p>
        </w:tc>
        <w:tc>
          <w:tcPr>
            <w:tcW w:type="dxa" w:w="1080"/>
          </w:tcPr>
          <w:p>
            <w:r>
              <w:rPr>
                <w:rFonts w:ascii="Calibri" w:hAnsi="Calibri"/>
                <w:sz w:val="22"/>
              </w:rPr>
              <w:t>$4.172</w:t>
            </w:r>
          </w:p>
        </w:tc>
        <w:tc>
          <w:tcPr>
            <w:tcW w:type="dxa" w:w="1080"/>
          </w:tcPr>
          <w:p>
            <w:r>
              <w:rPr>
                <w:rFonts w:ascii="Calibri" w:hAnsi="Calibri"/>
                <w:sz w:val="22"/>
              </w:rPr>
              <w:t>$4.195</w:t>
            </w:r>
          </w:p>
        </w:tc>
        <w:tc>
          <w:tcPr>
            <w:tcW w:type="dxa" w:w="1080"/>
          </w:tcPr>
          <w:p>
            <w:r>
              <w:rPr>
                <w:rFonts w:ascii="Calibri" w:hAnsi="Calibri"/>
                <w:b/>
                <w:color w:val="30A46C"/>
                <w:sz w:val="22"/>
              </w:rPr>
              <w:t>+0.6%</w:t>
            </w:r>
          </w:p>
        </w:tc>
        <w:tc>
          <w:tcPr>
            <w:tcW w:type="dxa" w:w="1080"/>
          </w:tcPr>
          <w:p>
            <w:r>
              <w:rPr>
                <w:rFonts w:ascii="Calibri" w:hAnsi="Calibri"/>
                <w:sz w:val="22"/>
              </w:rPr>
              <w:t>$4.20–$4.24</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−0.6% below midpoint ($4.22)</w:t>
            </w:r>
          </w:p>
        </w:tc>
      </w:tr>
      <w:tr>
        <w:tc>
          <w:tcPr>
            <w:tcW w:type="dxa" w:w="1080"/>
          </w:tcPr>
          <w:p>
            <w:r>
              <w:rPr>
                <w:rFonts w:ascii="Calibri" w:hAnsi="Calibri"/>
                <w:sz w:val="22"/>
              </w:rPr>
              <w:t>Net Sales — Q2 2026</w:t>
            </w:r>
          </w:p>
        </w:tc>
        <w:tc>
          <w:tcPr>
            <w:tcW w:type="dxa" w:w="1080"/>
          </w:tcPr>
          <w:p>
            <w:r>
              <w:rPr>
                <w:rFonts w:ascii="Calibri" w:hAnsi="Calibri"/>
                <w:sz w:val="22"/>
              </w:rPr>
              <w:t>$3.744B</w:t>
            </w:r>
          </w:p>
        </w:tc>
        <w:tc>
          <w:tcPr>
            <w:tcW w:type="dxa" w:w="1080"/>
          </w:tcPr>
          <w:p>
            <w:r>
              <w:rPr>
                <w:rFonts w:ascii="Calibri" w:hAnsi="Calibri"/>
                <w:sz w:val="22"/>
              </w:rPr>
              <w:t>$3.742B</w:t>
            </w:r>
          </w:p>
        </w:tc>
        <w:tc>
          <w:tcPr>
            <w:tcW w:type="dxa" w:w="1080"/>
          </w:tcPr>
          <w:p>
            <w:r>
              <w:rPr>
                <w:rFonts w:ascii="Calibri" w:hAnsi="Calibri"/>
                <w:sz w:val="22"/>
              </w:rPr>
              <w:t>−0.1%</w:t>
            </w:r>
          </w:p>
        </w:tc>
        <w:tc>
          <w:tcPr>
            <w:tcW w:type="dxa" w:w="1080"/>
          </w:tcPr>
          <w:p>
            <w:r>
              <w:rPr>
                <w:rFonts w:ascii="Calibri" w:hAnsi="Calibri"/>
                <w:sz w:val="22"/>
              </w:rPr>
              <w:t>Organic acceleration (no $ Q2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Net Sales — FY 2026</w:t>
            </w:r>
          </w:p>
        </w:tc>
        <w:tc>
          <w:tcPr>
            <w:tcW w:type="dxa" w:w="1080"/>
          </w:tcPr>
          <w:p>
            <w:r>
              <w:rPr>
                <w:rFonts w:ascii="Calibri" w:hAnsi="Calibri"/>
                <w:sz w:val="22"/>
              </w:rPr>
              <w:t>$15.141B</w:t>
            </w:r>
          </w:p>
        </w:tc>
        <w:tc>
          <w:tcPr>
            <w:tcW w:type="dxa" w:w="1080"/>
          </w:tcPr>
          <w:p>
            <w:r>
              <w:rPr>
                <w:rFonts w:ascii="Calibri" w:hAnsi="Calibri"/>
                <w:sz w:val="22"/>
              </w:rPr>
              <w:t>$15.122B</w:t>
            </w:r>
          </w:p>
        </w:tc>
        <w:tc>
          <w:tcPr>
            <w:tcW w:type="dxa" w:w="1080"/>
          </w:tcPr>
          <w:p>
            <w:r>
              <w:rPr>
                <w:rFonts w:ascii="Calibri" w:hAnsi="Calibri"/>
                <w:sz w:val="22"/>
              </w:rPr>
              <w:t>−0.1%</w:t>
            </w:r>
          </w:p>
        </w:tc>
        <w:tc>
          <w:tcPr>
            <w:tcW w:type="dxa" w:w="1080"/>
          </w:tcPr>
          <w:p>
            <w:r>
              <w:rPr>
                <w:rFonts w:ascii="Calibri" w:hAnsi="Calibri"/>
                <w:sz w:val="22"/>
              </w:rPr>
              <w:t>$15.1B–$15.3B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−1.2% below midpoint ($15.2B)</w:t>
            </w:r>
          </w:p>
        </w:tc>
      </w:tr>
      <w:tr>
        <w:tc>
          <w:tcPr>
            <w:tcW w:type="dxa" w:w="1080"/>
          </w:tcPr>
          <w:p>
            <w:r>
              <w:rPr>
                <w:rFonts w:ascii="Calibri" w:hAnsi="Calibri"/>
                <w:sz w:val="22"/>
              </w:rPr>
              <w:t>Service Revenue — Q2 2026</w:t>
            </w:r>
          </w:p>
        </w:tc>
        <w:tc>
          <w:tcPr>
            <w:tcW w:type="dxa" w:w="1080"/>
          </w:tcPr>
          <w:p>
            <w:r>
              <w:rPr>
                <w:rFonts w:ascii="Calibri" w:hAnsi="Calibri"/>
                <w:sz w:val="22"/>
              </w:rPr>
              <w:t>$2.491B</w:t>
            </w:r>
          </w:p>
        </w:tc>
        <w:tc>
          <w:tcPr>
            <w:tcW w:type="dxa" w:w="1080"/>
          </w:tcPr>
          <w:p>
            <w:r>
              <w:rPr>
                <w:rFonts w:ascii="Calibri" w:hAnsi="Calibri"/>
                <w:sz w:val="22"/>
              </w:rPr>
              <w:t>$2.482B</w:t>
            </w:r>
          </w:p>
        </w:tc>
        <w:tc>
          <w:tcPr>
            <w:tcW w:type="dxa" w:w="1080"/>
          </w:tcPr>
          <w:p>
            <w:r>
              <w:rPr>
                <w:rFonts w:ascii="Calibri" w:hAnsi="Calibri"/>
                <w:sz w:val="22"/>
              </w:rPr>
              <w:t>−0.4%</w:t>
            </w:r>
          </w:p>
        </w:tc>
        <w:tc>
          <w:tcPr>
            <w:tcW w:type="dxa" w:w="1080"/>
          </w:tcPr>
          <w:p>
            <w:r>
              <w:rPr>
                <w:rFonts w:ascii="Calibri" w:hAnsi="Calibri"/>
                <w:sz w:val="22"/>
              </w:rPr>
              <w:t>Mid-to-high single-digit organic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Service Revenue — FY 2026</w:t>
            </w:r>
          </w:p>
        </w:tc>
        <w:tc>
          <w:tcPr>
            <w:tcW w:type="dxa" w:w="1080"/>
          </w:tcPr>
          <w:p>
            <w:r>
              <w:rPr>
                <w:rFonts w:ascii="Calibri" w:hAnsi="Calibri"/>
                <w:sz w:val="22"/>
              </w:rPr>
              <w:t>$10.185B</w:t>
            </w:r>
          </w:p>
        </w:tc>
        <w:tc>
          <w:tcPr>
            <w:tcW w:type="dxa" w:w="1080"/>
          </w:tcPr>
          <w:p>
            <w:r>
              <w:rPr>
                <w:rFonts w:ascii="Calibri" w:hAnsi="Calibri"/>
                <w:sz w:val="22"/>
              </w:rPr>
              <w:t>$10.158B</w:t>
            </w:r>
          </w:p>
        </w:tc>
        <w:tc>
          <w:tcPr>
            <w:tcW w:type="dxa" w:w="1080"/>
          </w:tcPr>
          <w:p>
            <w:r>
              <w:rPr>
                <w:rFonts w:ascii="Calibri" w:hAnsi="Calibri"/>
                <w:sz w:val="22"/>
              </w:rPr>
              <w:t>−0.3%</w:t>
            </w:r>
          </w:p>
        </w:tc>
        <w:tc>
          <w:tcPr>
            <w:tcW w:type="dxa" w:w="1080"/>
          </w:tcPr>
          <w:p>
            <w:r>
              <w:rPr>
                <w:rFonts w:ascii="Calibri" w:hAnsi="Calibri"/>
                <w:sz w:val="22"/>
              </w:rPr>
              <w:t>Mid-to-high single-digit organic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Service Op. Margin — Q2 2026</w:t>
            </w:r>
          </w:p>
        </w:tc>
        <w:tc>
          <w:tcPr>
            <w:tcW w:type="dxa" w:w="1080"/>
          </w:tcPr>
          <w:p>
            <w:r>
              <w:rPr>
                <w:rFonts w:ascii="Calibri" w:hAnsi="Calibri"/>
                <w:sz w:val="22"/>
              </w:rPr>
              <w:t>24.03%</w:t>
            </w:r>
          </w:p>
        </w:tc>
        <w:tc>
          <w:tcPr>
            <w:tcW w:type="dxa" w:w="1080"/>
          </w:tcPr>
          <w:p>
            <w:r>
              <w:rPr>
                <w:rFonts w:ascii="Calibri" w:hAnsi="Calibri"/>
                <w:sz w:val="22"/>
              </w:rPr>
              <w:t>24.34%</w:t>
            </w:r>
          </w:p>
        </w:tc>
        <w:tc>
          <w:tcPr>
            <w:tcW w:type="dxa" w:w="1080"/>
          </w:tcPr>
          <w:p>
            <w:r>
              <w:rPr>
                <w:rFonts w:ascii="Calibri" w:hAnsi="Calibri"/>
                <w:b/>
                <w:color w:val="30A46C"/>
                <w:sz w:val="22"/>
              </w:rPr>
              <w:t>+31 bps</w:t>
            </w:r>
          </w:p>
        </w:tc>
        <w:tc>
          <w:tcPr>
            <w:tcW w:type="dxa" w:w="1080"/>
          </w:tcPr>
          <w:p>
            <w:r>
              <w:rPr>
                <w:rFonts w:ascii="Calibri" w:hAnsi="Calibri"/>
                <w:sz w:val="22"/>
              </w:rPr>
              <w:t>~24%</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+34 bps above guidance</w:t>
            </w:r>
          </w:p>
        </w:tc>
      </w:tr>
      <w:tr>
        <w:tc>
          <w:tcPr>
            <w:tcW w:type="dxa" w:w="1080"/>
          </w:tcPr>
          <w:p>
            <w:r>
              <w:rPr>
                <w:rFonts w:ascii="Calibri" w:hAnsi="Calibri"/>
                <w:sz w:val="22"/>
              </w:rPr>
              <w:t>Service Op. Margin — FY 2026</w:t>
            </w:r>
          </w:p>
        </w:tc>
        <w:tc>
          <w:tcPr>
            <w:tcW w:type="dxa" w:w="1080"/>
          </w:tcPr>
          <w:p>
            <w:r>
              <w:rPr>
                <w:rFonts w:ascii="Calibri" w:hAnsi="Calibri"/>
                <w:sz w:val="22"/>
              </w:rPr>
              <w:t>24.63%</w:t>
            </w:r>
          </w:p>
        </w:tc>
        <w:tc>
          <w:tcPr>
            <w:tcW w:type="dxa" w:w="1080"/>
          </w:tcPr>
          <w:p>
            <w:r>
              <w:rPr>
                <w:rFonts w:ascii="Calibri" w:hAnsi="Calibri"/>
                <w:sz w:val="22"/>
              </w:rPr>
              <w:t>24.71%</w:t>
            </w:r>
          </w:p>
        </w:tc>
        <w:tc>
          <w:tcPr>
            <w:tcW w:type="dxa" w:w="1080"/>
          </w:tcPr>
          <w:p>
            <w:r>
              <w:rPr>
                <w:rFonts w:ascii="Calibri" w:hAnsi="Calibri"/>
                <w:sz w:val="22"/>
              </w:rPr>
              <w:t>+8 bps</w:t>
            </w:r>
          </w:p>
        </w:tc>
        <w:tc>
          <w:tcPr>
            <w:tcW w:type="dxa" w:w="1080"/>
          </w:tcPr>
          <w:p>
            <w:r>
              <w:rPr>
                <w:rFonts w:ascii="Calibri" w:hAnsi="Calibri"/>
                <w:sz w:val="22"/>
              </w:rPr>
              <w:t>High 24s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Consistent with guidance</w:t>
            </w:r>
          </w:p>
        </w:tc>
      </w:tr>
    </w:tbl>
    <w:p>
      <w:r>
        <w:rPr>
          <w:rFonts w:ascii="Calibri" w:hAnsi="Calibri"/>
          <w:color w:val="525866"/>
          <w:sz w:val="22"/>
        </w:rPr>
        <w:t>The modest upward drift in Q2 EPS estimates (+2.2% since the post-print baseline) reflects the Street pricing in a slightly better-than-guided service margin outcome, consistent with the pattern of Otis beating on service revenue even when margins disappoint. Revenue estimates have been essentially flat, suggesting no incremental demand signal has emerged. The FY EPS consensus remains just below the guidance midpoint, implying the Street is not yet fully pricing in the H2 recovery management has outlined.</w:t>
      </w:r>
    </w:p>
    <w:p>
      <w:r>
        <w:rPr>
          <w:rFonts w:ascii="Calibri" w:hAnsi="Calibri"/>
          <w:i/>
          <w:color w:val="525866"/>
          <w:sz w:val="22"/>
        </w:rPr>
        <w:t>Source: Visible Alpha Consensus and Actuals Data (revision history weekly series, April 24 – July 21, 2026); Q1 2026 Earnings Call transcript.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OTIS has underperformed the XLI industrials ETF by approximately 12 percentage points since the Q1 earnings date, driven almost entirely by multiple compression rather than estimate cuts — the stock’s NTM P/E has contracted from ~18.5x to ~16.5x, reflecting investor skepticism about the H2 service margin recovery timeline.</w:t>
      </w:r>
      <w:r>
        <w:rPr>
          <w:rFonts w:ascii="Calibri" w:hAnsi="Calibri"/>
          <w:color w:val="525866"/>
          <w:sz w:val="22"/>
        </w:rPr>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OTIS vs. XLI (Industrials ETF) vs. S&amp;P 500 — Indexed to 100 at Q1 2026 Earnings Date (April 22, 2026). OTIS: −92.4 (down ~7.6%); XLI: ~104.5 (+4.5%); S&amp;P 500: ~105.2 (+5.2%). Source: Stock Price Data.</w:t>
      </w:r>
    </w:p>
    <w:p>
      <w:r>
        <w:rPr>
          <w:rFonts w:ascii="Calibri" w:hAnsi="Calibri"/>
          <w:color w:val="525866"/>
          <w:sz w:val="22"/>
        </w:rPr>
        <w:t>Since the Q1 2026 earnings date (April 22, 2026), OTIS has declined approximately 7.6% to $71.95 as of July 21, 2026, while the XLI industrials ETF has gained ~4.5% and the S&amp;P 500 has gained ~5.2%. The underperformance is striking given that the Q1 print itself was largely pre-announced (the H1 EPS headwind was disclosed at the March 18 investor conference). The stock’s NTM EV/EBITDA multiple has compressed from approximately 14.0x to 12.8x over the past three months, and the NTM P/E has moved from ~18.5x to ~16.5x — both well below the five-year historical average. The compression reflects investor skepticism about the pace and magnitude of the H2 service margin recovery, compounded by the broader de-rating of industrial names with China exposure. At current levels, the stock appears to be pricing in a scenario where the H2 recovery is delayed or partial, which creates asymmetric upside if Q2 service margin prints at or above the guided ~24% level and management reaffirms the full-year EPS range.</w:t>
      </w:r>
      <w:r>
        <w:rPr>
          <w:rFonts w:ascii="Calibri" w:hAnsi="Calibri"/>
          <w:color w:val="525866"/>
          <w:sz w:val="22"/>
        </w:rPr>
      </w:r>
    </w:p>
    <w:p>
      <w:r>
        <w:rPr>
          <w:rFonts w:ascii="Calibri" w:hAnsi="Calibri"/>
          <w:i/>
          <w:color w:val="525866"/>
          <w:sz w:val="22"/>
        </w:rPr>
        <w:t>Source: Stock Price Data (Yahoo Finance); Stock Performance Decomposition (NTM multiples).</w:t>
      </w:r>
    </w:p>
    <w:p>
      <w:r>
        <w:br w:type="page"/>
      </w:r>
    </w:p>
    <w:p>
      <w:pPr>
        <w:pStyle w:val="Heading2"/>
      </w:pPr>
      <w:r>
        <w:rPr>
          <w:rFonts w:ascii="Calibri" w:hAnsi="Calibri"/>
          <w:b/>
          <w:color w:val="3B4259"/>
          <w:sz w:val="28"/>
        </w:rPr>
        <w:t>6. Peer Commentary &amp; Current-Quarter Read-Throughs</w:t>
      </w:r>
    </w:p>
    <w:p>
      <w:r>
        <w:rPr>
          <w:rFonts w:ascii="Calibri" w:hAnsi="Calibri"/>
          <w:b/>
          <w:color w:val="525866"/>
          <w:sz w:val="22"/>
        </w:rPr>
        <w:t xml:space="preserve">Key Takeaway: </w:t>
      </w:r>
      <w:r>
        <w:rPr>
          <w:rFonts w:ascii="Calibri" w:hAnsi="Calibri"/>
          <w:color w:val="525866"/>
          <w:sz w:val="22"/>
        </w:rPr>
        <w:t>Schindler’s July 21, 2026 H1 2026 results — reported the day before Otis’s Q2 print — are the most directly relevant peer read-through, confirming robust modernization demand globally (&gt;10% order growth), continued China new installation weakness (&lt;−10%), and successful margin expansion through pricing discipline. KONE’s Q2 2026 preview commentary (July 13) provides additional directional context on the same themes.</w:t>
      </w:r>
      <w:r>
        <w:rPr>
          <w:rFonts w:ascii="Calibri" w:hAnsi="Calibri"/>
          <w:color w:val="525866"/>
          <w:sz w:val="22"/>
        </w:rPr>
      </w:r>
    </w:p>
    <w:p>
      <w:r>
        <w:rPr>
          <w:rFonts w:ascii="Calibri" w:hAnsi="Calibri"/>
          <w:b/>
          <w:color w:val="525866"/>
          <w:sz w:val="22"/>
        </w:rPr>
        <w:t xml:space="preserve">Qualification: </w:t>
      </w:r>
      <w:r>
        <w:rPr>
          <w:rFonts w:ascii="Calibri" w:hAnsi="Calibri"/>
          <w:color w:val="525866"/>
          <w:sz w:val="22"/>
        </w:rPr>
        <w:t>Schindler and KONE are European-listed companies reporting in CHF and EUR respectively, with different geographic mixes, fiscal calendars, and accounting standards than Otis. Schindler’s H1 2026 covers January–June 2026 (same calendar period as Otis’s Q2 2026 reporting quarter). These read-throughs are directional signals, not direct financial comparisons. Only commentary published in the last 60 days (on or after May 22, 2026) that addresses the April–June 2026 reporting quarter or FY 2026 outlook is included below; prior-quarter results commentary has been excluded.</w:t>
      </w:r>
    </w:p>
    <w:p>
      <w:pPr>
        <w:pStyle w:val="Heading3"/>
      </w:pPr>
      <w:r>
        <w:rPr>
          <w:rFonts w:ascii="Calibri" w:hAnsi="Calibri"/>
          <w:b/>
          <w:color w:val="3B4259"/>
          <w:sz w:val="24"/>
        </w:rPr>
        <w:t>Schindler — H1 2026 Results (Reported July 21, 2026) — PRIMARY READ-THROUGH</w:t>
      </w:r>
    </w:p>
    <w:p>
      <w:r>
        <w:rPr>
          <w:rFonts w:ascii="Calibri" w:hAnsi="Calibri"/>
          <w:color w:val="525866"/>
          <w:sz w:val="22"/>
        </w:rPr>
        <w:t>Schindler reported H1 2026 results on July 21, 2026, the day before Otis’s Q2 print. Key read-throughs for Otis:</w:t>
      </w:r>
    </w:p>
    <w:p>
      <w:pPr>
        <w:pStyle w:val="ListBullet"/>
        <w:ind w:left="360" w:hanging="360"/>
      </w:pPr>
      <w:r>
        <w:rPr>
          <w:rFonts w:ascii="Calibri" w:hAnsi="Calibri"/>
          <w:b/>
          <w:color w:val="525866"/>
          <w:sz w:val="22"/>
        </w:rPr>
        <w:t xml:space="preserve">Modernization demand remains the standout growth driver globally. </w:t>
      </w:r>
      <w:r>
        <w:rPr>
          <w:rFonts w:ascii="Calibri" w:hAnsi="Calibri"/>
          <w:color w:val="525866"/>
          <w:sz w:val="22"/>
        </w:rPr>
        <w:t>Schindler reported +12.8% modernization order growth in local currency for H1 2026, with &gt;10% growth in EMEA, China, and globally. Q2 2026 alone showed &gt;10% modernization order growth globally. This is highly consistent with Otis’s own Q1 2026 modernization orders up 11% and backlog up 30% at constant currency, and supports management’s expectation of low-teens-or-above sustained modernization order growth. The aging global installed base thesis is playing out across the industry.</w:t>
      </w:r>
    </w:p>
    <w:p>
      <w:pPr>
        <w:pStyle w:val="ListBullet"/>
        <w:ind w:left="360" w:hanging="360"/>
      </w:pPr>
      <w:r>
        <w:rPr>
          <w:rFonts w:ascii="Calibri" w:hAnsi="Calibri"/>
          <w:b/>
          <w:color w:val="525866"/>
          <w:sz w:val="22"/>
        </w:rPr>
        <w:t xml:space="preserve">China new installation continues to contract sharply. </w:t>
      </w:r>
      <w:r>
        <w:rPr>
          <w:rFonts w:ascii="Calibri" w:hAnsi="Calibri"/>
          <w:color w:val="525866"/>
          <w:sz w:val="22"/>
        </w:rPr>
        <w:t>Schindler reported China new installation orders down &gt;10% in both Q2 and H1 2026, with China new construction starts falling &gt;23% year-on-year in H1 2026 per China National Bureau of Statistics data. This is consistent with Otis’s own guidance for China new equipment to decline in 2026, and reinforces the view that the China new equipment market has not yet stabilized. Otis’s strategic pivot to value over volume in China (and its growing China service revenue, which exceeded new equipment revenue for the first time in Q1 2026) positions it better than pure new-equipment-exposed peers.</w:t>
      </w:r>
    </w:p>
    <w:p>
      <w:pPr>
        <w:pStyle w:val="ListBullet"/>
        <w:ind w:left="360" w:hanging="360"/>
      </w:pPr>
      <w:r>
        <w:rPr>
          <w:rFonts w:ascii="Calibri" w:hAnsi="Calibri"/>
          <w:b/>
          <w:color w:val="525866"/>
          <w:sz w:val="22"/>
        </w:rPr>
        <w:t xml:space="preserve">Service growth is positive but modest globally. </w:t>
      </w:r>
      <w:r>
        <w:rPr>
          <w:rFonts w:ascii="Calibri" w:hAnsi="Calibri"/>
          <w:color w:val="525866"/>
          <w:sz w:val="22"/>
        </w:rPr>
        <w:t>Schindler reported service order growth of +0 to &lt;5% globally in both Q2 and H1 2026, with stronger performance in China and APAC. This is directionally consistent with Otis’s maintenance portfolio growth of 3% in Q1 2026 and its target of 3% maintenance organic sales growth for the full year.</w:t>
      </w:r>
    </w:p>
    <w:p>
      <w:pPr>
        <w:pStyle w:val="ListBullet"/>
        <w:ind w:left="360" w:hanging="360"/>
      </w:pPr>
      <w:r>
        <w:rPr>
          <w:rFonts w:ascii="Calibri" w:hAnsi="Calibri"/>
          <w:b/>
          <w:color w:val="525866"/>
          <w:sz w:val="22"/>
        </w:rPr>
        <w:t xml:space="preserve">Margin expansion is achievable through pricing and operational efficiency. </w:t>
      </w:r>
      <w:r>
        <w:rPr>
          <w:rFonts w:ascii="Calibri" w:hAnsi="Calibri"/>
          <w:color w:val="525866"/>
          <w:sz w:val="22"/>
        </w:rPr>
        <w:t>Schindler achieved an H1 2026 EBIT margin of 13.2% (+90 bps year-over-year) and an adjusted EBIT margin of 13.5%, explicitly citing “efficiencies and pricing offsetting inflationary pressures.” This is a positive read-through for Otis’s own service margin recovery thesis — if Schindler can expand margins in this environment, Otis’s targeted sequential improvement from Q1’s 23.0% to Q2’s ~24% is credible.</w:t>
      </w:r>
    </w:p>
    <w:p>
      <w:pPr>
        <w:pStyle w:val="ListBullet"/>
        <w:ind w:left="360" w:hanging="360"/>
      </w:pPr>
      <w:r>
        <w:rPr>
          <w:rFonts w:ascii="Calibri" w:hAnsi="Calibri"/>
          <w:b/>
          <w:color w:val="525866"/>
          <w:sz w:val="22"/>
        </w:rPr>
        <w:t xml:space="preserve">Middle East and China remain headwinds but are manageable. </w:t>
      </w:r>
      <w:r>
        <w:rPr>
          <w:rFonts w:ascii="Calibri" w:hAnsi="Calibri"/>
          <w:color w:val="525866"/>
          <w:sz w:val="22"/>
        </w:rPr>
        <w:t>Schindler maintained its full-year 2026 guidance (13% EBIT margin; low-to-mid single-digit local currency revenue growth) despite “volatile geopolitical conditions,” citing continued China new installation pressure and supply chain volatility as headwinds. This is consistent with Otis’s own guidance framework and suggests the industry-wide headwinds are well-understood and manageable.</w:t>
      </w:r>
    </w:p>
    <w:p>
      <w:pPr>
        <w:pStyle w:val="ListBullet"/>
        <w:ind w:left="360" w:hanging="360"/>
      </w:pPr>
      <w:r>
        <w:rPr>
          <w:rFonts w:ascii="Calibri" w:hAnsi="Calibri"/>
          <w:b/>
          <w:color w:val="525866"/>
          <w:sz w:val="22"/>
        </w:rPr>
        <w:t xml:space="preserve">Revenue slightly missed expectations. </w:t>
      </w:r>
      <w:r>
        <w:rPr>
          <w:rFonts w:ascii="Calibri" w:hAnsi="Calibri"/>
          <w:color w:val="525866"/>
          <w:sz w:val="22"/>
        </w:rPr>
        <w:t>Schindler’s Q2 2026 revenue of CHF 2.736B was -0.7% year-over-year in CHF (below analyst consensus of CHF 2.78B), driven by FX headwinds and China weakness. Schindler shares fell ~5.8% on the day. This is a mild caution flag for Otis’s own revenue line, though Otis has a different geographic mix and FX exposure.</w:t>
      </w:r>
    </w:p>
    <w:p>
      <w:pPr>
        <w:pStyle w:val="Heading3"/>
      </w:pPr>
      <w:r>
        <w:rPr>
          <w:rFonts w:ascii="Calibri" w:hAnsi="Calibri"/>
          <w:b/>
          <w:color w:val="3B4259"/>
          <w:sz w:val="24"/>
        </w:rPr>
        <w:t>KONE — Q2 2026 Preview Commentary (Published July 13, 2026)</w:t>
      </w:r>
    </w:p>
    <w:p>
      <w:r>
        <w:rPr>
          <w:rFonts w:ascii="Calibri" w:hAnsi="Calibri"/>
          <w:color w:val="525866"/>
          <w:sz w:val="22"/>
        </w:rPr>
        <w:t>KONE is scheduled to report Q2 2026 results on July 22, 2026 (same day as Otis). Analyst preview commentary from Inderes (July 13, 2026) provides useful directional context on the elevator industry heading into Q2 prints:</w:t>
      </w:r>
    </w:p>
    <w:p>
      <w:pPr>
        <w:pStyle w:val="ListBullet"/>
        <w:ind w:left="360" w:hanging="360"/>
      </w:pPr>
      <w:r>
        <w:rPr>
          <w:rFonts w:ascii="Calibri" w:hAnsi="Calibri"/>
          <w:b/>
          <w:color w:val="525866"/>
          <w:sz w:val="22"/>
        </w:rPr>
        <w:t xml:space="preserve">Service and modernization expected to drive growth; China new equipment remains a drag. </w:t>
      </w:r>
      <w:r>
        <w:rPr>
          <w:rFonts w:ascii="Calibri" w:hAnsi="Calibri"/>
          <w:color w:val="525866"/>
          <w:sz w:val="22"/>
        </w:rPr>
        <w:t>Inderes estimates KONE Q2 2026 revenue grew ~3% to EUR 2,924M, driven by service and modernization demand, while China new equipment continued to weigh on new installation volumes. China housing starts were down ~25% year-on-year in April–May 2026 per public statistics. This is consistent with the Otis and Schindler read-throughs above.</w:t>
      </w:r>
    </w:p>
    <w:p>
      <w:pPr>
        <w:pStyle w:val="ListBullet"/>
        <w:ind w:left="360" w:hanging="360"/>
      </w:pPr>
      <w:r>
        <w:rPr>
          <w:rFonts w:ascii="Calibri" w:hAnsi="Calibri"/>
          <w:b/>
          <w:color w:val="525866"/>
          <w:sz w:val="22"/>
        </w:rPr>
        <w:t xml:space="preserve">Modernization orders expected to grow again, particularly in EMEA. </w:t>
      </w:r>
      <w:r>
        <w:rPr>
          <w:rFonts w:ascii="Calibri" w:hAnsi="Calibri"/>
          <w:color w:val="525866"/>
          <w:sz w:val="22"/>
        </w:rPr>
        <w:t>Inderes estimates KONE Q2 2026 orders of EUR 2,386M (+3% year-over-year), with modernization again the primary growth driver. This reinforces the industry-wide modernization demand theme that is central to Otis’s own growth narrative.</w:t>
      </w:r>
    </w:p>
    <w:p>
      <w:pPr>
        <w:pStyle w:val="ListBullet"/>
        <w:ind w:left="360" w:hanging="360"/>
      </w:pPr>
      <w:r>
        <w:rPr>
          <w:rFonts w:ascii="Calibri" w:hAnsi="Calibri"/>
          <w:b/>
          <w:color w:val="525866"/>
          <w:sz w:val="22"/>
        </w:rPr>
        <w:t xml:space="preserve">Adjusted EBIT margin expected to improve to 12.9% (vs. 12.2% in Q2 2025). </w:t>
      </w:r>
      <w:r>
        <w:rPr>
          <w:rFonts w:ascii="Calibri" w:hAnsi="Calibri"/>
          <w:color w:val="525866"/>
          <w:sz w:val="22"/>
        </w:rPr>
        <w:t>Inderes estimates KONE’s adjusted EBIT margin improved year-over-year in Q2 2026, consistent with the broader industry margin recovery theme. KONE’s 2026 guidance calls for an adjusted EBIT margin of 12.3%–13.0%.</w:t>
      </w:r>
    </w:p>
    <w:p>
      <w:pPr>
        <w:pStyle w:val="ListBullet"/>
        <w:ind w:left="360" w:hanging="360"/>
      </w:pPr>
      <w:r>
        <w:rPr>
          <w:rFonts w:ascii="Calibri" w:hAnsi="Calibri"/>
          <w:b/>
          <w:color w:val="525866"/>
          <w:sz w:val="22"/>
        </w:rPr>
        <w:t xml:space="preserve">TK Elevator acquisition one-time costs will weigh on reported results. </w:t>
      </w:r>
      <w:r>
        <w:rPr>
          <w:rFonts w:ascii="Calibri" w:hAnsi="Calibri"/>
          <w:color w:val="525866"/>
          <w:sz w:val="22"/>
        </w:rPr>
        <w:t>KONE is expected to incur ~EUR 50M in one-time costs related to the TK Elevator transaction in Q2 2026, which will depress reported (but not adjusted) earnings. This is KONE-specific and not directly relevant to Otis.</w:t>
      </w:r>
    </w:p>
    <w:p>
      <w:pPr>
        <w:pStyle w:val="ListBullet"/>
        <w:ind w:left="360" w:hanging="360"/>
      </w:pPr>
      <w:r>
        <w:rPr>
          <w:rFonts w:ascii="Calibri" w:hAnsi="Calibri"/>
          <w:b/>
          <w:color w:val="525866"/>
          <w:sz w:val="22"/>
        </w:rPr>
        <w:t xml:space="preserve">Over 90% of KONE’s earnings come from aftermarket (service and modernization). </w:t>
      </w:r>
      <w:r>
        <w:rPr>
          <w:rFonts w:ascii="Calibri" w:hAnsi="Calibri"/>
          <w:color w:val="525866"/>
          <w:sz w:val="22"/>
        </w:rPr>
        <w:t>Inderes notes that “more than 90% of KONE’s earnings come from the aftermarket (service and modernization), so a slowdown in new construction demand does not significantly impact the company’s earnings in the short term.” This is directly analogous to Otis’s own positioning, where ~90% of profits come from the Service segment.</w:t>
      </w:r>
    </w:p>
    <w:p>
      <w:r>
        <w:rPr>
          <w:rFonts w:ascii="Calibri" w:hAnsi="Calibri"/>
          <w:i/>
          <w:color w:val="525866"/>
          <w:sz w:val="22"/>
        </w:rPr>
        <w:t>Sources: Schindler H1 2026 Investor Presentation (July 21, 2026); Schindler H1 2026 Interim Report (July 21, 2026); Inderes/Vara Research KONE Q2 2026 Preview (July 13, 2026); Reuters (July 21, 2026).</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the Q1 print is Schindler’s July 21 H1 2026 results, which confirm the industry-wide modernization demand tailwind and China new installation headwind heading into Otis’s Q2 print. The May 2026 debt issuance signals balance sheet confidence, and the absence of any guidance revision since April 22 suggests no material negative surprises have emerged.</w:t>
      </w:r>
      <w:r>
        <w:rPr>
          <w:rFonts w:ascii="Calibri" w:hAnsi="Calibri"/>
          <w:color w:val="525866"/>
          <w:sz w:val="22"/>
        </w:rPr>
      </w:r>
    </w:p>
    <w:p>
      <w:pPr>
        <w:pStyle w:val="ListBullet"/>
        <w:ind w:left="360" w:hanging="360"/>
      </w:pPr>
      <w:r>
        <w:rPr>
          <w:rFonts w:ascii="Calibri" w:hAnsi="Calibri"/>
          <w:b/>
          <w:color w:val="525866"/>
          <w:sz w:val="22"/>
        </w:rPr>
        <w:t xml:space="preserve">July 21, 2026 — Schindler H1 2026 Results (Peer Read-Through): </w:t>
      </w:r>
      <w:r>
        <w:rPr>
          <w:rFonts w:ascii="Calibri" w:hAnsi="Calibri"/>
          <w:color w:val="525866"/>
          <w:sz w:val="22"/>
        </w:rPr>
        <w:t>Schindler reported H1 2026 EBIT margin of 13.2% (+90 bps YoY), modernization orders +12.8% in local currency, and maintained full-year guidance. China new installation orders fell &gt;10%. Schindler shares fell ~5.8% on modest revenue miss vs. consensus. Implication: Confirms modernization demand tailwind and China new equipment headwind for Otis; margin expansion is achievable through pricing discipline; revenue miss is a mild caution flag.</w:t>
      </w:r>
    </w:p>
    <w:p>
      <w:pPr>
        <w:pStyle w:val="ListBullet"/>
        <w:ind w:left="360" w:hanging="360"/>
      </w:pPr>
      <w:r>
        <w:rPr>
          <w:rFonts w:ascii="Calibri" w:hAnsi="Calibri"/>
          <w:b/>
          <w:color w:val="525866"/>
          <w:sz w:val="22"/>
        </w:rPr>
        <w:t xml:space="preserve">May 7, 2026 — Otis Issues $700M in 4.488% Notes Due 2029 (8-K): </w:t>
      </w:r>
      <w:r>
        <w:rPr>
          <w:rFonts w:ascii="Calibri" w:hAnsi="Calibri"/>
          <w:color w:val="525866"/>
          <w:sz w:val="22"/>
        </w:rPr>
        <w:t>Otis completed a $700 million senior notes offering at 4.488%, due 2029. Implication: Signals management confidence in the balance sheet and provides liquidity flexibility for continued share repurchases and the WeMaintain investment. No change to capital allocation guidance.</w:t>
      </w:r>
    </w:p>
    <w:p>
      <w:pPr>
        <w:pStyle w:val="ListBullet"/>
        <w:ind w:left="360" w:hanging="360"/>
      </w:pPr>
      <w:r>
        <w:rPr>
          <w:rFonts w:ascii="Calibri" w:hAnsi="Calibri"/>
          <w:b/>
          <w:color w:val="525866"/>
          <w:sz w:val="22"/>
        </w:rPr>
        <w:t xml:space="preserve">April 22, 2026 — Q1 2026 Earnings: EPS Slight Miss, Revenue Beat; Guidance Narrowed: </w:t>
      </w:r>
      <w:r>
        <w:rPr>
          <w:rFonts w:ascii="Calibri" w:hAnsi="Calibri"/>
          <w:color w:val="525866"/>
          <w:sz w:val="22"/>
        </w:rPr>
        <w:t>Adjusted EPS of $0.89 missed consensus of ~$0.907 by ~1.9%; net sales of $3.566B beat consensus. Service margin contracted 160 bps to 23.0% (worse than the originally guided 30 bps contraction). Full-year EPS guidance narrowed to $4.20–$4.24 (high end cut). Q2 EPS guided down 3%–5% YoY. WeMaintain majority investment announced. Implication: The Q1 miss was largely pre-announced; the key question for Q2 is whether the service margin recovery is on track.</w:t>
      </w:r>
    </w:p>
    <w:p>
      <w:pPr>
        <w:pStyle w:val="ListBullet"/>
        <w:ind w:left="360" w:hanging="360"/>
      </w:pPr>
      <w:r>
        <w:rPr>
          <w:rFonts w:ascii="Calibri" w:hAnsi="Calibri"/>
          <w:b/>
          <w:color w:val="525866"/>
          <w:sz w:val="22"/>
        </w:rPr>
        <w:t xml:space="preserve">April 22, 2026 — WeMaintain Majority Investment Announced: </w:t>
      </w:r>
      <w:r>
        <w:rPr>
          <w:rFonts w:ascii="Calibri" w:hAnsi="Calibri"/>
          <w:color w:val="525866"/>
          <w:sz w:val="22"/>
        </w:rPr>
        <w:t>Otis announced a majority investment in WeMaintain, a digitally native AI-enabled elevator service provider operating across multiple European countries. WeMaintain will be operated independently to maximize market access to non-Otis units. Implication: Strategically complementary to Otis ONE; expands addressable market for multi-brand portfolio servicing; financial impact not material in near term.</w:t>
      </w:r>
    </w:p>
    <w:p>
      <w:pPr>
        <w:pStyle w:val="ListBullet"/>
        <w:ind w:left="360" w:hanging="360"/>
      </w:pPr>
      <w:r>
        <w:rPr>
          <w:rFonts w:ascii="Calibri" w:hAnsi="Calibri"/>
          <w:b/>
          <w:color w:val="525866"/>
          <w:sz w:val="22"/>
        </w:rPr>
        <w:t xml:space="preserve">January 20, 2026 — New COO and CGO Appointments (8-K): </w:t>
      </w:r>
      <w:r>
        <w:rPr>
          <w:rFonts w:ascii="Calibri" w:hAnsi="Calibri"/>
          <w:color w:val="525866"/>
          <w:sz w:val="22"/>
        </w:rPr>
        <w:t>Otis added two new senior leadership roles — Chief Operating Officer and Chief Growth Officer — signaling a deliberate organizational shift to balance operational execution with accelerated growth initiatives. Implication: Organizational investment consistent with the service excellence and modernization growth strategy; no near-term financial impact.</w:t>
      </w:r>
    </w:p>
    <w:p>
      <w:pPr>
        <w:pStyle w:val="ListBullet"/>
        <w:ind w:left="360" w:hanging="360"/>
      </w:pPr>
      <w:r>
        <w:rPr>
          <w:rFonts w:ascii="Calibri" w:hAnsi="Calibri"/>
          <w:b/>
          <w:color w:val="525866"/>
          <w:sz w:val="22"/>
        </w:rPr>
        <w:t xml:space="preserve">Ongoing — Middle East Conflict: </w:t>
      </w:r>
      <w:r>
        <w:rPr>
          <w:rFonts w:ascii="Calibri" w:hAnsi="Calibri"/>
          <w:color w:val="525866"/>
          <w:sz w:val="22"/>
        </w:rPr>
        <w:t>Management’s Q2 guidance assumed the Middle East conflict ends in Q2 2026. If it has not, the company flagged a $5–$10 million per quarter profit headwind from project delays, logistic interruptions, and increased costs. Implication: Key downside risk to Q2 and H2 guidance; management will likely provide an update on the conflict’s impact on the Q2 call.</w:t>
      </w:r>
    </w:p>
    <w:p>
      <w:pPr>
        <w:pStyle w:val="ListBullet"/>
        <w:ind w:left="360" w:hanging="360"/>
      </w:pPr>
      <w:r>
        <w:rPr>
          <w:rFonts w:ascii="Calibri" w:hAnsi="Calibri"/>
          <w:b/>
          <w:color w:val="525866"/>
          <w:sz w:val="22"/>
        </w:rPr>
        <w:t xml:space="preserve">Ongoing — China Modernization Subsidy Program Expansion: </w:t>
      </w:r>
      <w:r>
        <w:rPr>
          <w:rFonts w:ascii="Calibri" w:hAnsi="Calibri"/>
          <w:color w:val="525866"/>
          <w:sz w:val="22"/>
        </w:rPr>
        <w:t>China’s residential elevator modernization subsidy program expanded to approximately 180,000 units in 2026 (vs. 120,000 in 2025 and 80,000 in 2024), with a new tiered structure providing higher subsidies for higher-stop buildings. Otis’s China modernization orders were up &gt;50% in Q1 2026. Implication: Significant near-term demand catalyst for China modernization; partially offsets China new equipment weakness.</w:t>
      </w:r>
    </w:p>
    <w:p>
      <w:r>
        <w:rPr>
          <w:rFonts w:ascii="Calibri" w:hAnsi="Calibri"/>
          <w:i/>
          <w:color w:val="525866"/>
          <w:sz w:val="22"/>
        </w:rPr>
        <w:t>Sources: Schindler H1 2026 Investor Presentation and Interim Report (July 21, 2026); Reuters (July 21, 2026); Otis 8-K (May 7, 2026 — debt issuance); Otis Q1 2026 Earnings Call transcript (April 22, 2026); Otis 8-K (January 20, 2026 — employment offer); Otis Q2 2026 Earnings Advisory (July 1, 2026).</w:t>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Only one insider transaction has been disclosed since the Q1 2026 earnings date — a discretionary open-market sale by the President of Otis EMEA in early May 2026. The transaction is modest in size and not clustered with other insider activity; no open-market buys have been filed. The absence of clustered selling or buying does not provide a strong directional signal.</w:t>
      </w:r>
      <w:r>
        <w:rPr>
          <w:rFonts w:ascii="Calibri" w:hAnsi="Calibri"/>
          <w:color w:val="525866"/>
          <w:sz w:val="22"/>
        </w:rPr>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Thibault Pierre Marie Lefebure</w:t>
            </w:r>
          </w:p>
        </w:tc>
        <w:tc>
          <w:tcPr>
            <w:tcW w:type="dxa" w:w="1440"/>
          </w:tcPr>
          <w:p>
            <w:r>
              <w:rPr>
                <w:rFonts w:ascii="Calibri" w:hAnsi="Calibri"/>
                <w:sz w:val="22"/>
              </w:rPr>
              <w:t>President, Otis EMEA</w:t>
            </w:r>
          </w:p>
        </w:tc>
        <w:tc>
          <w:tcPr>
            <w:tcW w:type="dxa" w:w="1440"/>
          </w:tcPr>
          <w:p>
            <w:r>
              <w:rPr>
                <w:rFonts w:ascii="Calibri" w:hAnsi="Calibri"/>
                <w:sz w:val="22"/>
              </w:rPr>
              <w:t>Open Market Sale</w:t>
            </w:r>
          </w:p>
        </w:tc>
        <w:tc>
          <w:tcPr>
            <w:tcW w:type="dxa" w:w="1440"/>
          </w:tcPr>
          <w:p>
            <w:r>
              <w:rPr>
                <w:rFonts w:ascii="Calibri" w:hAnsi="Calibri"/>
                <w:sz w:val="22"/>
              </w:rPr>
              <w:t>1,628 shares</w:t>
            </w:r>
          </w:p>
        </w:tc>
        <w:tc>
          <w:tcPr>
            <w:tcW w:type="dxa" w:w="1440"/>
          </w:tcPr>
          <w:p>
            <w:r>
              <w:rPr>
                <w:rFonts w:ascii="Calibri" w:hAnsi="Calibri"/>
                <w:sz w:val="22"/>
              </w:rPr>
              <w:t>May 7, 2026</w:t>
            </w:r>
          </w:p>
        </w:tc>
        <w:tc>
          <w:tcPr>
            <w:tcW w:type="dxa" w:w="1440"/>
          </w:tcPr>
          <w:p>
            <w:r>
              <w:rPr>
                <w:rFonts w:ascii="Calibri" w:hAnsi="Calibri"/>
                <w:sz w:val="22"/>
              </w:rPr>
              <w:t>Discretionary sale (no 10b5-1 plan indicated); 4,008 shares retained post-transaction. Modest size; not clustered with other insider activity.</w:t>
            </w:r>
          </w:p>
        </w:tc>
      </w:tr>
    </w:tbl>
    <w:p>
      <w:r>
        <w:rPr>
          <w:rFonts w:ascii="Calibri" w:hAnsi="Calibri"/>
          <w:color w:val="525866"/>
          <w:sz w:val="22"/>
        </w:rPr>
        <w:t>No open-market purchases by insiders have been filed since the Q1 2026 earnings date. The single discretionary sale by the EMEA President is not unusual in context and does not represent a meaningful negative signal. The absence of clustered buying ahead of what management has characterized as a significant H2 recovery is worth noting, though it is not uncommon for insiders to be in blackout periods ahead of earnings.</w:t>
      </w:r>
    </w:p>
    <w:p>
      <w:r>
        <w:rPr>
          <w:rFonts w:ascii="Calibri" w:hAnsi="Calibri"/>
          <w:i/>
          <w:color w:val="525866"/>
          <w:sz w:val="22"/>
        </w:rPr>
        <w:t>Source: SEC Form 4 Filings Database (Insider Transaction Data); Form 4 filing — Lefebure Thibault Pierre Marie (OTIS), filed May 7,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