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PCG (PG&amp;E Corporation) before writing the preview. Let me start by gathering recent filings, transcripts, and news.Let me read the most recent earnings materials and the investor update.Let me gather recent news on the key catalysts (wildfire legislation, GRC) and check the stock price trend.Let me get the latest news and legislative developments for context.Let me search the web for the latest on the California wildfire legislation and PCG's Q2 setup, and check for recent 8-Ks.# PG&amp;E Corporation (PCG) — Q2 2026 Earnings Preview</w:t>
      </w:r>
    </w:p>
    <w:bookmarkStart w:id="9" w:name="X9afd22bff78218fe1addd68724591da0d1ea2ab"/>
    <w:p>
      <w:pPr>
        <w:pStyle w:val="Heading3"/>
      </w:pPr>
      <w:r>
        <w:t xml:space="preserve">Reports Thursday, July 23, 2026 (before market open) | 2026Q2 Earnings Call</w:t>
      </w:r>
    </w:p>
    <w:p>
      <w:r>
        <w:pict>
          <v:rect style="width:0;height:1.5pt" o:hralign="center" o:hrstd="t" o:hr="t"/>
        </w:pict>
      </w:r>
    </w:p>
    <w:bookmarkEnd w:id="9"/>
    <w:bookmarkStart w:id="10" w:name="the-one-liner"/>
    <w:p>
      <w:pPr>
        <w:pStyle w:val="Heading2"/>
      </w:pPr>
      <w:r>
        <w:t xml:space="preserve">The One-Liner</w:t>
      </w:r>
    </w:p>
    <w:p>
      <w:pPr>
        <w:pStyle w:val="FirstParagraph"/>
      </w:pPr>
      <w:r>
        <w:t xml:space="preserve">PG&amp;E enters its Q2 print as a rare "clean" utility growth story trading at a persistent discount — the operational execution is firing on all cylinders (double-digit EPS growth, five straight rate cuts, an accelerating data-center pipeline), but the stock remains hostage to a single macro catalyst:</w:t>
      </w:r>
      <w:r>
        <w:t xml:space="preserve"> </w:t>
      </w:r>
      <w:r>
        <w:rPr>
          <w:b/>
          <w:bCs/>
        </w:rPr>
        <w:t xml:space="preserve">whether California's legislature delivers durable wildfire liability reform (SB 254 "Phase 2") before the session ends in late August.</w:t>
      </w:r>
      <w:r>
        <w:t xml:space="preserve"> </w:t>
      </w:r>
      <w:r>
        <w:t xml:space="preserve">The Q2 numbers will likely be a non-event relative to the legislative overhang.</w:t>
      </w:r>
    </w:p>
    <w:p>
      <w:r>
        <w:pict>
          <v:rect style="width:0;height:1.5pt" o:hralign="center" o:hrstd="t" o:hr="t"/>
        </w:pict>
      </w:r>
    </w:p>
    <w:bookmarkEnd w:id="10"/>
    <w:bookmarkStart w:id="11" w:name="what-the-street-expects"/>
    <w:p>
      <w:pPr>
        <w:pStyle w:val="Heading2"/>
      </w:pPr>
      <w:r>
        <w:t xml:space="preserve">What the Street Expects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Q2 2026 Consensus</w:t>
            </w:r>
          </w:p>
        </w:tc>
        <w:tc>
          <w:tcPr/>
          <w:p>
            <w:pPr>
              <w:pStyle w:val="Compact"/>
            </w:pPr>
            <w:r>
              <w:t xml:space="preserve">Y/Y</w:t>
            </w:r>
          </w:p>
        </w:tc>
      </w:tr>
      <w:tr>
        <w:tc>
          <w:tcPr/>
          <w:p>
            <w:pPr>
              <w:pStyle w:val="Compact"/>
            </w:pPr>
            <w:r>
              <w:t xml:space="preserve">Core EPS</w:t>
            </w:r>
          </w:p>
        </w:tc>
        <w:tc>
          <w:tcPr/>
          <w:p>
            <w:pPr>
              <w:pStyle w:val="Compact"/>
            </w:pPr>
            <w:r>
              <w:t xml:space="preserve">~</w:t>
            </w:r>
            <m:oMath>
              <m:r>
                <m:t>0.36</m:t>
              </m:r>
              <m:r>
                <m:rPr>
                  <m:sty m:val="p"/>
                </m:rPr>
                <m:t>–</m:t>
              </m:r>
            </m:oMath>
            <w:r>
              <w:t xml:space="preserve">0.37</w:t>
            </w:r>
          </w:p>
        </w:tc>
        <w:tc>
          <w:tcPr/>
          <w:p>
            <w:pPr>
              <w:pStyle w:val="Compact"/>
            </w:pPr>
            <w:r>
              <w:t xml:space="preserve">+~19% (vs. $0.31)</w:t>
            </w:r>
          </w:p>
        </w:tc>
      </w:tr>
      <w:tr>
        <w:tc>
          <w:tcPr/>
          <w:p>
            <w:pPr>
              <w:pStyle w:val="Compact"/>
            </w:pPr>
            <w:r>
              <w:t xml:space="preserve">Revenue</w:t>
            </w:r>
          </w:p>
        </w:tc>
        <w:tc>
          <w:tcPr/>
          <w:p>
            <w:pPr>
              <w:pStyle w:val="Compact"/>
            </w:pPr>
            <w:r>
              <w:t xml:space="preserve">~$6.3B</w:t>
            </w:r>
          </w:p>
        </w:tc>
        <w:tc>
          <w:tcPr/>
          <w:p>
            <w:pPr>
              <w:pStyle w:val="Compact"/>
            </w:pPr>
            <w:r>
              <w:t xml:space="preserve">+~7%</w:t>
            </w:r>
          </w:p>
        </w:tc>
      </w:tr>
    </w:tbl>
    <w:p>
      <w:pPr>
        <w:pStyle w:val="Compact"/>
        <w:numPr>
          <w:ilvl w:val="0"/>
          <w:numId w:val="1001"/>
        </w:numPr>
      </w:pPr>
      <w:r>
        <w:t xml:space="preserve">The Street is looking for steady ~19% YoY core EPS growth, consistent with management's full-year trajectory.</w:t>
      </w:r>
    </w:p>
    <w:p>
      <w:pPr>
        <w:pStyle w:val="Compact"/>
        <w:numPr>
          <w:ilvl w:val="0"/>
          <w:numId w:val="1001"/>
        </w:numPr>
      </w:pPr>
      <w:r>
        <w:rPr>
          <w:b/>
          <w:bCs/>
        </w:rPr>
        <w:t xml:space="preserve">This is a guidance-reaffirmation quarter, not a beat-and-raise quarter.</w:t>
      </w:r>
      <w:r>
        <w:t xml:space="preserve"> </w:t>
      </w:r>
      <w:r>
        <w:t xml:space="preserve">Management has been explicit about "delivering the plan" rather than chasing upside, and habitually redeploys O&amp;M savings to de-risk future years rather than let them fall to the bottom line.</w:t>
      </w:r>
    </w:p>
    <w:p>
      <w:r>
        <w:pict>
          <v:rect style="width:0;height:1.5pt" o:hralign="center" o:hrstd="t" o:hr="t"/>
        </w:pict>
      </w:r>
    </w:p>
    <w:bookmarkEnd w:id="11"/>
    <w:bookmarkStart w:id="12" w:name="key-numbers-going-in-q1-2026-baseline"/>
    <w:p>
      <w:pPr>
        <w:pStyle w:val="Heading2"/>
      </w:pPr>
      <w:r>
        <w:t xml:space="preserve">Key Numbers Going In (Q1 2026 baseline)</w:t>
      </w:r>
    </w:p>
    <w:p>
      <w:pPr>
        <w:pStyle w:val="Compact"/>
        <w:numPr>
          <w:ilvl w:val="0"/>
          <w:numId w:val="1002"/>
        </w:numPr>
      </w:pPr>
      <w:r>
        <w:rPr>
          <w:b/>
          <w:bCs/>
        </w:rPr>
        <w:t xml:space="preserve">Q1 core EPS was $0.43</w:t>
      </w:r>
      <w:r>
        <w:t xml:space="preserve">, up</w:t>
      </w:r>
      <w:r>
        <w:t xml:space="preserve"> </w:t>
      </w:r>
      <w:r>
        <w:t xml:space="preserve">$0.10 YoY, putting PG&amp;E "solidly on track" for full-year guidance. Note Q1 was aided by a one-time ~$</w:t>
      </w:r>
      <w:r>
        <w:t xml:space="preserve">0.04 benefit from the 2023 WMCE final decision plus $0.03 of favorable timing — so the run-rate underlying number is lower and Q2 comps should look cleaner.</w:t>
      </w:r>
    </w:p>
    <w:p>
      <w:pPr>
        <w:pStyle w:val="Compact"/>
        <w:numPr>
          <w:ilvl w:val="0"/>
          <w:numId w:val="1002"/>
        </w:numPr>
      </w:pPr>
      <w:r>
        <w:rPr>
          <w:b/>
          <w:bCs/>
        </w:rPr>
        <w:t xml:space="preserve">FY2026 core EPS guidance:</w:t>
      </w:r>
      <w:r>
        <w:rPr>
          <w:b/>
          <w:bCs/>
        </w:rPr>
        <w:t xml:space="preserve"> </w:t>
      </w:r>
      <m:oMath>
        <m:r>
          <m:t>1.64</m:t>
        </m:r>
        <m:r>
          <m:rPr>
            <m:sty m:val="p"/>
          </m:rPr>
          <m:t>–</m:t>
        </m:r>
      </m:oMath>
      <w:r>
        <w:rPr>
          <w:b/>
          <w:bCs/>
        </w:rPr>
        <w:t xml:space="preserve">1.66</w:t>
      </w:r>
      <w:r>
        <w:t xml:space="preserve"> </w:t>
      </w:r>
      <w:r>
        <w:t xml:space="preserve">(reaffirmed). Midpoint =</w:t>
      </w:r>
      <w:r>
        <w:t xml:space="preserve"> </w:t>
      </w:r>
      <w:r>
        <w:rPr>
          <w:b/>
          <w:bCs/>
        </w:rPr>
        <w:t xml:space="preserve">~10% growth</w:t>
      </w:r>
      <w:r>
        <w:t xml:space="preserve">, which would mark PG&amp;E's</w:t>
      </w:r>
      <w:r>
        <w:t xml:space="preserve"> </w:t>
      </w:r>
      <w:r>
        <w:rPr>
          <w:b/>
          <w:bCs/>
        </w:rPr>
        <w:t xml:space="preserve">fifth consecutive year of double-digit core earnings growth</w:t>
      </w:r>
      <w:r>
        <w:t xml:space="preserve">.</w:t>
      </w:r>
    </w:p>
    <w:p>
      <w:pPr>
        <w:pStyle w:val="Compact"/>
        <w:numPr>
          <w:ilvl w:val="0"/>
          <w:numId w:val="1002"/>
        </w:numPr>
      </w:pPr>
      <w:r>
        <w:rPr>
          <w:b/>
          <w:bCs/>
        </w:rPr>
        <w:t xml:space="preserve">Long-term: 9%+ annual EPS growth reaffirmed through 2027–2030.</w:t>
      </w:r>
    </w:p>
    <w:p>
      <w:pPr>
        <w:pStyle w:val="Compact"/>
        <w:numPr>
          <w:ilvl w:val="0"/>
          <w:numId w:val="1002"/>
        </w:numPr>
      </w:pPr>
      <w:r>
        <w:rPr>
          <w:b/>
          <w:bCs/>
        </w:rPr>
        <w:t xml:space="preserve">$73B five-year capital plan (through 2030) with zero new equity issuance</w:t>
      </w:r>
      <w:r>
        <w:t xml:space="preserve"> </w:t>
      </w:r>
      <w:r>
        <w:t xml:space="preserve">— a key part of the bull case.</w:t>
      </w:r>
    </w:p>
    <w:p>
      <w:pPr>
        <w:pStyle w:val="FirstParagraph"/>
      </w:pPr>
      <w:r>
        <w:rPr>
          <w:b/>
          <w:bCs/>
        </w:rPr>
        <w:t xml:space="preserve">What to watch on the print:</w:t>
      </w:r>
      <w:r>
        <w:t xml:space="preserve"> </w:t>
      </w:r>
      <w:r>
        <w:t xml:space="preserve">whether the full-year range is reaffirmed (base case: yes), the cadence of O&amp;M savings redeployment, and any early read on 2027 given the moving pieces (GRC + legislation).</w:t>
      </w:r>
    </w:p>
    <w:p>
      <w:r>
        <w:pict>
          <v:rect style="width:0;height:1.5pt" o:hralign="center" o:hrstd="t" o:hr="t"/>
        </w:pict>
      </w:r>
    </w:p>
    <w:bookmarkEnd w:id="12"/>
    <w:bookmarkStart w:id="13" w:name="Xe4324025fe2a2d629df296ff453e61d50cd7bd6"/>
    <w:p>
      <w:pPr>
        <w:pStyle w:val="Heading2"/>
      </w:pPr>
      <w:r>
        <w:t xml:space="preserve">The Dominant Catalyst: Wildfire Liability Reform (SB 254 Phase 2)</w:t>
      </w:r>
    </w:p>
    <w:p>
      <w:pPr>
        <w:pStyle w:val="FirstParagraph"/>
      </w:pPr>
      <w:r>
        <w:t xml:space="preserve">This is the whole ballgame for the multiple. The framework:</w:t>
      </w:r>
    </w:p>
    <w:p>
      <w:pPr>
        <w:pStyle w:val="Compact"/>
        <w:numPr>
          <w:ilvl w:val="0"/>
          <w:numId w:val="1003"/>
        </w:numPr>
      </w:pPr>
      <w:r>
        <w:t xml:space="preserve">California's 2019 Wildfire Fund (AB 1054) framework is viewed as inadequate against a worst-case fire; the market wants the "tail risk" to be</w:t>
      </w:r>
      <w:r>
        <w:t xml:space="preserve"> </w:t>
      </w:r>
      <w:r>
        <w:rPr>
          <w:b/>
          <w:bCs/>
        </w:rPr>
        <w:t xml:space="preserve">modelable, capped, and quantifiable.</w:t>
      </w:r>
    </w:p>
    <w:p>
      <w:pPr>
        <w:pStyle w:val="Compact"/>
        <w:numPr>
          <w:ilvl w:val="0"/>
          <w:numId w:val="1003"/>
        </w:numPr>
      </w:pPr>
      <w:r>
        <w:t xml:space="preserve">SB 254 (signed 2025) commissioned a study/report from the California Earthquake Authority (CEA); that report is done, and management frames 2026 as the</w:t>
      </w:r>
      <w:r>
        <w:t xml:space="preserve"> </w:t>
      </w:r>
      <w:r>
        <w:rPr>
          <w:b/>
          <w:bCs/>
        </w:rPr>
        <w:t xml:space="preserve">legislative phase</w:t>
      </w:r>
      <w:r>
        <w:t xml:space="preserve">, with the session</w:t>
      </w:r>
      <w:r>
        <w:t xml:space="preserve"> </w:t>
      </w:r>
      <w:r>
        <w:rPr>
          <w:b/>
          <w:bCs/>
        </w:rPr>
        <w:t xml:space="preserve">running through late August</w:t>
      </w:r>
      <w:r>
        <w:t xml:space="preserve">.</w:t>
      </w:r>
    </w:p>
    <w:p>
      <w:pPr>
        <w:pStyle w:val="Compact"/>
        <w:numPr>
          <w:ilvl w:val="0"/>
          <w:numId w:val="1003"/>
        </w:numPr>
      </w:pPr>
      <w:r>
        <w:t xml:space="preserve">Management's stated</w:t>
      </w:r>
      <w:r>
        <w:t xml:space="preserve"> </w:t>
      </w:r>
      <w:r>
        <w:rPr>
          <w:b/>
          <w:bCs/>
        </w:rPr>
        <w:t xml:space="preserve">minimum bar</w:t>
      </w:r>
      <w:r>
        <w:t xml:space="preserve">: an outcome that lets shareholders "model, predict and quantify" wildfire tail risk and prevents additional costs being pushed onto shareholders. CEO Poppe has warned against "kicking the can" into 2027.</w:t>
      </w:r>
    </w:p>
    <w:p>
      <w:pPr>
        <w:pStyle w:val="Compact"/>
        <w:numPr>
          <w:ilvl w:val="0"/>
          <w:numId w:val="1003"/>
        </w:numPr>
      </w:pPr>
      <w:r>
        <w:rPr>
          <w:b/>
          <w:bCs/>
        </w:rPr>
        <w:t xml:space="preserve">The threat:</w:t>
      </w:r>
      <w:r>
        <w:t xml:space="preserve"> </w:t>
      </w:r>
      <w:r>
        <w:t xml:space="preserve">management has repeatedly said that</w:t>
      </w:r>
      <w:r>
        <w:t xml:space="preserve"> </w:t>
      </w:r>
      <w:r>
        <w:rPr>
          <w:b/>
          <w:bCs/>
        </w:rPr>
        <w:t xml:space="preserve">if progress stalls, "all aspects of the capital allocation plan will be on the table"</w:t>
      </w:r>
      <w:r>
        <w:t xml:space="preserve"> </w:t>
      </w:r>
      <w:r>
        <w:t xml:space="preserve">— implying potential pullback in capex or a pivot toward buybacks/special dividends given the depressed valuation.</w:t>
      </w:r>
    </w:p>
    <w:p>
      <w:pPr>
        <w:pStyle w:val="FirstParagraph"/>
      </w:pPr>
      <w:r>
        <w:rPr>
          <w:b/>
          <w:bCs/>
        </w:rPr>
        <w:t xml:space="preserve">On the call, listen for:</w:t>
      </w:r>
      <w:r>
        <w:t xml:space="preserve"> </w:t>
      </w:r>
      <w:r>
        <w:t xml:space="preserve">any update on legislative hearings (Assembly Energy Committee), the tenor of Sacramento negotiations, and whether the late-August timeline still looks credible. Also note SB 254 already limits equity rate base returns on the first $6B of post-2026 fire-mitigation capex — a nuance to watch in how new capex is financed.</w:t>
      </w:r>
    </w:p>
    <w:p>
      <w:pPr>
        <w:pStyle w:val="BodyText"/>
      </w:pPr>
      <w:r>
        <w:t xml:space="preserve">⚠️</w:t>
      </w:r>
      <w:r>
        <w:t xml:space="preserve"> </w:t>
      </w:r>
      <w:r>
        <w:rPr>
          <w:b/>
          <w:bCs/>
        </w:rPr>
        <w:t xml:space="preserve">Political wildcard:</w:t>
      </w:r>
      <w:r>
        <w:t xml:space="preserve"> </w:t>
      </w:r>
      <w:r>
        <w:t xml:space="preserve">the 2026 California governor's race has surfaced candidate rhetoric on rate freezes and returns. PG&amp;E's counter is "performance is power" — five rate cuts since 2024. Watch for questions on how the plan holds up under a more populist administration.</w:t>
      </w:r>
    </w:p>
    <w:p>
      <w:r>
        <w:pict>
          <v:rect style="width:0;height:1.5pt" o:hralign="center" o:hrstd="t" o:hr="t"/>
        </w:pict>
      </w:r>
    </w:p>
    <w:bookmarkEnd w:id="13"/>
    <w:bookmarkStart w:id="14" w:name="other-catalysts--watch-items"/>
    <w:p>
      <w:pPr>
        <w:pStyle w:val="Heading2"/>
      </w:pPr>
      <w:r>
        <w:t xml:space="preserve">Other Catalysts &amp; Watch Items</w:t>
      </w:r>
    </w:p>
    <w:p>
      <w:pPr>
        <w:pStyle w:val="FirstParagraph"/>
      </w:pPr>
      <w:r>
        <w:rPr>
          <w:b/>
          <w:bCs/>
        </w:rPr>
        <w:t xml:space="preserve">1. Q3 undergrounding filing.</w:t>
      </w:r>
      <w:r>
        <w:t xml:space="preserve"> </w:t>
      </w:r>
      <w:r>
        <w:t xml:space="preserve">PG&amp;E is on track to file its</w:t>
      </w:r>
      <w:r>
        <w:t xml:space="preserve"> </w:t>
      </w:r>
      <w:r>
        <w:rPr>
          <w:b/>
          <w:bCs/>
        </w:rPr>
        <w:t xml:space="preserve">10-year undergrounding plan (~5,000 incremental miles, 2028–2037) with OEIS in Q3.</w:t>
      </w:r>
      <w:r>
        <w:t xml:space="preserve"> </w:t>
      </w:r>
      <w:r>
        <w:t xml:space="preserve">Any preview of scope/cost matters for the post-2030 growth runway. Note: this is</w:t>
      </w:r>
      <w:r>
        <w:t xml:space="preserve"> </w:t>
      </w:r>
      <w:r>
        <w:rPr>
          <w:i/>
          <w:iCs/>
        </w:rPr>
        <w:t xml:space="preserve">incremental</w:t>
      </w:r>
      <w:r>
        <w:t xml:space="preserve"> </w:t>
      </w:r>
      <w:r>
        <w:t xml:space="preserve">to the ~$1B/yr already embedded in the $73B plan.</w:t>
      </w:r>
    </w:p>
    <w:p>
      <w:pPr>
        <w:pStyle w:val="BodyText"/>
      </w:pPr>
      <w:r>
        <w:rPr>
          <w:b/>
          <w:bCs/>
        </w:rPr>
        <w:t xml:space="preserve">2. Data-center / large-load pipeline.</w:t>
      </w:r>
      <w:r>
        <w:t xml:space="preserve"> </w:t>
      </w:r>
      <w:r>
        <w:t xml:space="preserve">~</w:t>
      </w:r>
      <w:r>
        <w:rPr>
          <w:b/>
          <w:bCs/>
        </w:rPr>
        <w:t xml:space="preserve">4.6 GW in final engineering</w:t>
      </w:r>
      <w:r>
        <w:t xml:space="preserve">, with a third cluster study ("Cluster '26") showing</w:t>
      </w:r>
      <w:r>
        <w:t xml:space="preserve"> </w:t>
      </w:r>
      <w:r>
        <w:rPr>
          <w:b/>
          <w:bCs/>
        </w:rPr>
        <w:t xml:space="preserve">10+ GW of additional interest</w:t>
      </w:r>
      <w:r>
        <w:t xml:space="preserve"> </w:t>
      </w:r>
      <w:r>
        <w:t xml:space="preserve">spreading beyond the Bay Area. Management guides to **~1.8 GW online by 2030 (~1–2% bill reduction).** The bull case wants conversion of "final engineering" → signed → construction, and eventually a "make the plan bigger" upside case (management says "not now," likely post-SB 254). This is the growth optionality lever.</w:t>
      </w:r>
    </w:p>
    <w:p>
      <w:pPr>
        <w:pStyle w:val="BodyText"/>
      </w:pPr>
      <w:r>
        <w:rPr>
          <w:b/>
          <w:bCs/>
        </w:rPr>
        <w:t xml:space="preserve">3. Path to investment grade.</w:t>
      </w:r>
      <w:r>
        <w:t xml:space="preserve"> </w:t>
      </w:r>
      <w:r>
        <w:rPr>
          <w:b/>
          <w:bCs/>
        </w:rPr>
        <w:t xml:space="preserve">Moody's moved to positive outlook</w:t>
      </w:r>
      <w:r>
        <w:t xml:space="preserve"> </w:t>
      </w:r>
      <w:r>
        <w:t xml:space="preserve">after Q4. An upgrade would lower borrowing costs (management frames it as "hundreds of millions" in customer savings) and is a genuine, non-priced catalyst. Watch for updated FFO/debt (targeting mid-teens) and any ratings commentary.</w:t>
      </w:r>
    </w:p>
    <w:p>
      <w:pPr>
        <w:pStyle w:val="BodyText"/>
      </w:pPr>
      <w:r>
        <w:rPr>
          <w:b/>
          <w:bCs/>
        </w:rPr>
        <w:t xml:space="preserve">4. 2027 General Rate Case.</w:t>
      </w:r>
      <w:r>
        <w:t xml:space="preserve"> </w:t>
      </w:r>
      <w:r>
        <w:t xml:space="preserve">PG&amp;E filed its 2027 GRC (~$1.2B / 8% TY2027 revenue increase request) in May 2025;</w:t>
      </w:r>
      <w:r>
        <w:t xml:space="preserve"> </w:t>
      </w:r>
      <w:r>
        <w:rPr>
          <w:b/>
          <w:bCs/>
        </w:rPr>
        <w:t xml:space="preserve">evidentiary hearings ran in May 2026</w:t>
      </w:r>
      <w:r>
        <w:t xml:space="preserve">, with</w:t>
      </w:r>
      <w:r>
        <w:t xml:space="preserve"> </w:t>
      </w:r>
      <w:r>
        <w:rPr>
          <w:b/>
          <w:bCs/>
        </w:rPr>
        <w:t xml:space="preserve">new rates expected ~May 2027.</w:t>
      </w:r>
      <w:r>
        <w:t xml:space="preserve"> </w:t>
      </w:r>
      <w:r>
        <w:t xml:space="preserve">Management is open to settlement but the CPUC has signaled a preference for full adjudication. Progress here de-risks 2027 EPS.</w:t>
      </w:r>
    </w:p>
    <w:p>
      <w:pPr>
        <w:pStyle w:val="BodyText"/>
      </w:pPr>
      <w:r>
        <w:rPr>
          <w:b/>
          <w:bCs/>
        </w:rPr>
        <w:t xml:space="preserve">5. Affordability scorecard.</w:t>
      </w:r>
      <w:r>
        <w:t xml:space="preserve"> </w:t>
      </w:r>
      <w:r>
        <w:t xml:space="preserve">Rates cut</w:t>
      </w:r>
      <w:r>
        <w:t xml:space="preserve"> </w:t>
      </w:r>
      <w:r>
        <w:rPr>
          <w:b/>
          <w:bCs/>
        </w:rPr>
        <w:t xml:space="preserve">five times since Jan-2024</w:t>
      </w:r>
      <w:r>
        <w:t xml:space="preserve">; bundled rates down</w:t>
      </w:r>
      <w:r>
        <w:t xml:space="preserve"> </w:t>
      </w:r>
      <w:r>
        <w:rPr>
          <w:b/>
          <w:bCs/>
        </w:rPr>
        <w:t xml:space="preserve">23% for CARE (vulnerable) customers, 13% for others.</w:t>
      </w:r>
      <w:r>
        <w:t xml:space="preserve"> </w:t>
      </w:r>
      <w:r>
        <w:t xml:space="preserve">The "path to flat" (0–3% bill growth) narrative is central to disarming political risk — expect it front and center again.</w:t>
      </w:r>
    </w:p>
    <w:p>
      <w:pPr>
        <w:pStyle w:val="BodyText"/>
      </w:pPr>
      <w:r>
        <w:rPr>
          <w:b/>
          <w:bCs/>
        </w:rPr>
        <w:t xml:space="preserve">6. Diablo Canyon.</w:t>
      </w:r>
      <w:r>
        <w:t xml:space="preserve"> </w:t>
      </w:r>
      <w:r>
        <w:t xml:space="preserve">NRC granted a</w:t>
      </w:r>
      <w:r>
        <w:t xml:space="preserve"> </w:t>
      </w:r>
      <w:r>
        <w:rPr>
          <w:b/>
          <w:bCs/>
        </w:rPr>
        <w:t xml:space="preserve">20-year license extension (April 2026)</w:t>
      </w:r>
      <w:r>
        <w:t xml:space="preserve">; operation beyond 2030 now sits with the legislature. Low near-term earnings impact but relevant to the California reliability/affordability narrative.</w:t>
      </w:r>
    </w:p>
    <w:p>
      <w:r>
        <w:pict>
          <v:rect style="width:0;height:1.5pt" o:hralign="center" o:hrstd="t" o:hr="t"/>
        </w:pict>
      </w:r>
    </w:p>
    <w:bookmarkEnd w:id="14"/>
    <w:bookmarkStart w:id="15" w:name="setup-positioning--valuation"/>
    <w:p>
      <w:pPr>
        <w:pStyle w:val="Heading2"/>
      </w:pPr>
      <w:r>
        <w:t xml:space="preserve">Setup, Positioning &amp; Valuation</w:t>
      </w:r>
    </w:p>
    <w:p>
      <w:pPr>
        <w:pStyle w:val="Compact"/>
        <w:numPr>
          <w:ilvl w:val="0"/>
          <w:numId w:val="1004"/>
        </w:numPr>
      </w:pPr>
      <w:r>
        <w:rPr>
          <w:b/>
          <w:bCs/>
        </w:rPr>
        <w:t xml:space="preserve">Stock:</w:t>
      </w:r>
      <w:r>
        <w:t xml:space="preserve"> </w:t>
      </w:r>
      <w:r>
        <w:t xml:space="preserve">~</w:t>
      </w:r>
      <w:r>
        <w:rPr>
          <w:b/>
          <w:bCs/>
        </w:rPr>
        <w:t xml:space="preserve">$18.10</w:t>
      </w:r>
      <w:r>
        <w:t xml:space="preserve"> </w:t>
      </w:r>
      <w:r>
        <w:t xml:space="preserve">at the July 22 close — and notably it</w:t>
      </w:r>
      <w:r>
        <w:t xml:space="preserve"> </w:t>
      </w:r>
      <w:r>
        <w:rPr>
          <w:b/>
          <w:bCs/>
        </w:rPr>
        <w:t xml:space="preserve">jumped ~3.5% the day before earnings</w:t>
      </w:r>
      <w:r>
        <w:t xml:space="preserve"> </w:t>
      </w:r>
      <w:r>
        <w:t xml:space="preserve">(from</w:t>
      </w:r>
      <w:r>
        <w:t xml:space="preserve"> </w:t>
      </w:r>
      <m:oMath>
        <m:r>
          <m:t>17.49</m:t>
        </m:r>
        <m:r>
          <m:rPr>
            <m:sty m:val="p"/>
          </m:rPr>
          <m:t>)</m:t>
        </m:r>
        <m:r>
          <m:rPr>
            <m:sty m:val="p"/>
          </m:rPr>
          <m:t>,</m:t>
        </m:r>
        <m:r>
          <m:t>s</m:t>
        </m:r>
        <m:r>
          <m:t>u</m:t>
        </m:r>
        <m:r>
          <m:t>g</m:t>
        </m:r>
        <m:r>
          <m:t>g</m:t>
        </m:r>
        <m:r>
          <m:t>e</m:t>
        </m:r>
        <m:r>
          <m:t>s</m:t>
        </m:r>
        <m:r>
          <m:t>t</m:t>
        </m:r>
        <m:r>
          <m:t>i</m:t>
        </m:r>
        <m:r>
          <m:t>n</m:t>
        </m:r>
        <m:r>
          <m:t>g</m:t>
        </m:r>
        <m:r>
          <m:t>s</m:t>
        </m:r>
        <m:r>
          <m:t>o</m:t>
        </m:r>
        <m:r>
          <m:t>m</m:t>
        </m:r>
        <m:r>
          <m:t>e</m:t>
        </m:r>
        <m:r>
          <m:t>p</m:t>
        </m:r>
        <m:r>
          <m:t>o</m:t>
        </m:r>
        <m:r>
          <m:t>s</m:t>
        </m:r>
        <m:r>
          <m:t>i</m:t>
        </m:r>
        <m:r>
          <m:t>t</m:t>
        </m:r>
        <m:r>
          <m:t>i</m:t>
        </m:r>
        <m:r>
          <m:t>o</m:t>
        </m:r>
        <m:r>
          <m:t>n</m:t>
        </m:r>
        <m:r>
          <m:t>i</m:t>
        </m:r>
        <m:r>
          <m:t>n</m:t>
        </m:r>
        <m:r>
          <m:t>g</m:t>
        </m:r>
        <m:r>
          <m:rPr>
            <m:sty m:val="p"/>
          </m:rPr>
          <m:t>/</m:t>
        </m:r>
        <m:r>
          <m:t>o</m:t>
        </m:r>
        <m:r>
          <m:t>p</m:t>
        </m:r>
        <m:r>
          <m:t>t</m:t>
        </m:r>
        <m:r>
          <m:t>i</m:t>
        </m:r>
        <m:r>
          <m:t>m</m:t>
        </m:r>
        <m:r>
          <m:t>i</m:t>
        </m:r>
        <m:r>
          <m:t>s</m:t>
        </m:r>
        <m:r>
          <m:t>m</m:t>
        </m:r>
        <m:r>
          <m:rPr>
            <m:sty m:val="p"/>
          </m:rPr>
          <m:t>(</m:t>
        </m:r>
        <m:r>
          <m:t>p</m:t>
        </m:r>
        <m:r>
          <m:t>o</m:t>
        </m:r>
        <m:r>
          <m:t>s</m:t>
        </m:r>
        <m:r>
          <m:t>s</m:t>
        </m:r>
        <m:r>
          <m:t>i</m:t>
        </m:r>
        <m:r>
          <m:t>b</m:t>
        </m:r>
        <m:r>
          <m:t>l</m:t>
        </m:r>
        <m:r>
          <m:t>y</m:t>
        </m:r>
        <m:r>
          <m:t>l</m:t>
        </m:r>
        <m:r>
          <m:t>e</m:t>
        </m:r>
        <m:r>
          <m:t>g</m:t>
        </m:r>
        <m:r>
          <m:t>i</m:t>
        </m:r>
        <m:r>
          <m:t>s</m:t>
        </m:r>
        <m:r>
          <m:t>l</m:t>
        </m:r>
        <m:r>
          <m:t>a</m:t>
        </m:r>
        <m:r>
          <m:t>t</m:t>
        </m:r>
        <m:r>
          <m:t>i</m:t>
        </m:r>
        <m:r>
          <m:t>v</m:t>
        </m:r>
        <m:r>
          <m:t>e</m:t>
        </m:r>
        <m:r>
          <m:t>h</m:t>
        </m:r>
        <m:r>
          <m:t>e</m:t>
        </m:r>
        <m:r>
          <m:t>a</m:t>
        </m:r>
        <m:r>
          <m:t>d</m:t>
        </m:r>
        <m:r>
          <m:t>l</m:t>
        </m:r>
        <m:r>
          <m:t>i</m:t>
        </m:r>
        <m:r>
          <m:t>n</m:t>
        </m:r>
        <m:r>
          <m:t>e</m:t>
        </m:r>
        <m:r>
          <m:t>s</m:t>
        </m:r>
        <m:r>
          <m:rPr>
            <m:sty m:val="p"/>
          </m:rPr>
          <m:t>)</m:t>
        </m:r>
        <m:r>
          <m:t>i</m:t>
        </m:r>
        <m:r>
          <m:t>n</m:t>
        </m:r>
        <m:r>
          <m:t>t</m:t>
        </m:r>
        <m:r>
          <m:t>o</m:t>
        </m:r>
        <m:r>
          <m:t>t</m:t>
        </m:r>
        <m:r>
          <m:t>h</m:t>
        </m:r>
        <m:r>
          <m:t>e</m:t>
        </m:r>
        <m:r>
          <m:t>p</m:t>
        </m:r>
        <m:r>
          <m:t>r</m:t>
        </m:r>
        <m:r>
          <m:t>i</m:t>
        </m:r>
        <m:r>
          <m:t>n</m:t>
        </m:r>
        <m:r>
          <m:t>t</m:t>
        </m:r>
        <m:r>
          <m:rPr>
            <m:sty m:val="p"/>
          </m:rPr>
          <m:t>.</m:t>
        </m:r>
        <m:r>
          <m:t>S</m:t>
        </m:r>
        <m:r>
          <m:t>h</m:t>
        </m:r>
        <m:r>
          <m:t>a</m:t>
        </m:r>
        <m:r>
          <m:t>r</m:t>
        </m:r>
        <m:r>
          <m:t>e</m:t>
        </m:r>
        <m:r>
          <m:t>s</m:t>
        </m:r>
        <m:r>
          <m:t>a</m:t>
        </m:r>
        <m:r>
          <m:t>r</m:t>
        </m:r>
        <m:r>
          <m:t>e</m:t>
        </m:r>
        <m:r>
          <m:t>u</m:t>
        </m:r>
        <m:r>
          <m:t>p</m:t>
        </m:r>
        <m:r>
          <m:t>f</m:t>
        </m:r>
        <m:r>
          <m:t>r</m:t>
        </m:r>
        <m:r>
          <m:t>o</m:t>
        </m:r>
        <m:r>
          <m:t>m</m:t>
        </m:r>
        <m:r>
          <m:t> </m:t>
        </m:r>
      </m:oMath>
      <w:r>
        <w:t xml:space="preserve">16.27 to start the year (~+11% YTD) but well off the February high near $19.</w:t>
      </w:r>
    </w:p>
    <w:p>
      <w:pPr>
        <w:pStyle w:val="Compact"/>
        <w:numPr>
          <w:ilvl w:val="0"/>
          <w:numId w:val="1004"/>
        </w:numPr>
      </w:pPr>
      <w:r>
        <w:rPr>
          <w:b/>
          <w:bCs/>
        </w:rPr>
        <w:t xml:space="preserve">Valuation:</w:t>
      </w:r>
      <w:r>
        <w:t xml:space="preserve"> </w:t>
      </w:r>
      <w:r>
        <w:t xml:space="preserve">PCG trades at a persistent</w:t>
      </w:r>
      <w:r>
        <w:t xml:space="preserve"> </w:t>
      </w:r>
      <w:r>
        <w:rPr>
          <w:b/>
          <w:bCs/>
        </w:rPr>
        <w:t xml:space="preserve">P/E discount to IOU peers</w:t>
      </w:r>
      <w:r>
        <w:t xml:space="preserve">. Sell-side average price targets cluster around</w:t>
      </w:r>
      <w:r>
        <w:t xml:space="preserve"> </w:t>
      </w:r>
      <m:oMath>
        <m:r>
          <m:t>21.50</m:t>
        </m:r>
        <m:r>
          <m:rPr>
            <m:sty m:val="p"/>
          </m:rPr>
          <m:t>–</m:t>
        </m:r>
      </m:oMath>
      <w:r>
        <w:rPr>
          <w:b/>
          <w:bCs/>
        </w:rPr>
        <w:t xml:space="preserve">22.70 (~20%+ upside)</w:t>
      </w:r>
      <w:r>
        <w:t xml:space="preserve">, with the gap explicitly tied to unresolved liability reform — i.e., the discount closes on legislation OR sustained operational outperformance.</w:t>
      </w:r>
    </w:p>
    <w:p>
      <w:pPr>
        <w:pStyle w:val="Compact"/>
        <w:numPr>
          <w:ilvl w:val="0"/>
          <w:numId w:val="1004"/>
        </w:numPr>
      </w:pPr>
      <w:r>
        <w:rPr>
          <w:b/>
          <w:bCs/>
        </w:rPr>
        <w:t xml:space="preserve">Insider color:</w:t>
      </w:r>
      <w:r>
        <w:t xml:space="preserve"> </w:t>
      </w:r>
      <w:r>
        <w:t xml:space="preserve">two Form 144 intentions to sell were filed July 22 (Santos ~</w:t>
      </w:r>
      <m:oMath>
        <m:r>
          <m:t>2.85</m:t>
        </m:r>
        <m:r>
          <m:t>M</m:t>
        </m:r>
        <m:r>
          <m:rPr>
            <m:sty m:val="p"/>
          </m:rPr>
          <m:t>;</m:t>
        </m:r>
        <m:r>
          <m:t>C</m:t>
        </m:r>
        <m:r>
          <m:t>o</m:t>
        </m:r>
        <m:r>
          <m:t>o</m:t>
        </m:r>
        <m:r>
          <m:t>p</m:t>
        </m:r>
        <m:r>
          <m:t>e</m:t>
        </m:r>
        <m:r>
          <m:t>r</m:t>
        </m:r>
        <m:r>
          <m:t> </m:t>
        </m:r>
      </m:oMath>
      <w:r>
        <w:t xml:space="preserve">22.5K) — routine in size, but worth flagging the day-before-earnings timing.</w:t>
      </w:r>
    </w:p>
    <w:p>
      <w:r>
        <w:pict>
          <v:rect style="width:0;height:1.5pt" o:hralign="center" o:hrstd="t" o:hr="t"/>
        </w:pict>
      </w:r>
    </w:p>
    <w:bookmarkEnd w:id="15"/>
    <w:bookmarkStart w:id="16" w:name="bottom-line-for-investors"/>
    <w:p>
      <w:pPr>
        <w:pStyle w:val="Heading2"/>
      </w:pPr>
      <w:r>
        <w:t xml:space="preserve">Bottom Line for Investors</w:t>
      </w:r>
    </w:p>
    <w:p>
      <w:pPr>
        <w:pStyle w:val="FirstParagraph"/>
      </w:pPr>
      <w:r>
        <w:t xml:space="preserve">The Q2 numbers should confirm what's already known: PG&amp;E is executing a best-in-class utility growth algorithm (~10% EPS growth, no equity, falling customer bills, expanding data-center optionality) at a discounted multiple.</w:t>
      </w:r>
      <w:r>
        <w:t xml:space="preserve"> </w:t>
      </w:r>
      <w:r>
        <w:rPr>
          <w:b/>
          <w:bCs/>
        </w:rPr>
        <w:t xml:space="preserve">The report itself is low-risk/low-drama; the real event risk is Sacramento.</w:t>
      </w:r>
    </w:p>
    <w:p>
      <w:pPr>
        <w:pStyle w:val="Compact"/>
        <w:numPr>
          <w:ilvl w:val="0"/>
          <w:numId w:val="1005"/>
        </w:numPr>
      </w:pPr>
      <w:r>
        <w:rPr>
          <w:b/>
          <w:bCs/>
        </w:rPr>
        <w:t xml:space="preserve">Base case:</w:t>
      </w:r>
      <w:r>
        <w:t xml:space="preserve"> </w:t>
      </w:r>
      <w:r>
        <w:t xml:space="preserve">in-line quarter, guidance reaffirmed, all eyes on the late-August legislative window.</w:t>
      </w:r>
    </w:p>
    <w:p>
      <w:pPr>
        <w:pStyle w:val="Compact"/>
        <w:numPr>
          <w:ilvl w:val="0"/>
          <w:numId w:val="1005"/>
        </w:numPr>
      </w:pPr>
      <w:r>
        <w:rPr>
          <w:b/>
          <w:bCs/>
        </w:rPr>
        <w:t xml:space="preserve">Upside path:</w:t>
      </w:r>
      <w:r>
        <w:t xml:space="preserve"> </w:t>
      </w:r>
      <w:r>
        <w:t xml:space="preserve">constructive legislative signals + investment-grade momentum + data-center conversions → the peer valuation gap narrows.</w:t>
      </w:r>
    </w:p>
    <w:p>
      <w:pPr>
        <w:pStyle w:val="Compact"/>
        <w:numPr>
          <w:ilvl w:val="0"/>
          <w:numId w:val="1005"/>
        </w:numPr>
      </w:pPr>
      <w:r>
        <w:rPr>
          <w:b/>
          <w:bCs/>
        </w:rPr>
        <w:t xml:space="preserve">Downside path:</w:t>
      </w:r>
      <w:r>
        <w:t xml:space="preserve"> </w:t>
      </w:r>
      <w:r>
        <w:t xml:space="preserve">legislative stall/"can-kick" past 2026 → management reopens capital allocation, and the discount persists or widens.</w:t>
      </w:r>
    </w:p>
    <w:p>
      <w:pPr>
        <w:pStyle w:val="FirstParagraph"/>
      </w:pPr>
      <w:r>
        <w:rPr>
          <w:b/>
          <w:bCs/>
        </w:rPr>
        <w:t xml:space="preserve">Trade the legislation, not the EPS.</w:t>
      </w:r>
      <w:r>
        <w:t xml:space="preserve"> </w:t>
      </w:r>
      <w:r>
        <w:t xml:space="preserve">On the call, the single most important input will be management's read on whether a durable, quantifiable wildfire liability fix is actually achievable before the session closes.</w:t>
      </w:r>
    </w:p>
    <w:p>
      <w:r>
        <w:pict>
          <v:rect style="width:0;height:1.5pt" o:hralign="center" o:hrstd="t" o:hr="t"/>
        </w:pict>
      </w:r>
    </w:p>
    <w:p>
      <w:pPr>
        <w:pStyle w:val="FirstParagraph"/>
      </w:pPr>
      <w:r>
        <w:rPr>
          <w:i/>
          <w:iCs/>
        </w:rPr>
        <w:t xml:space="preserve">Preview based on PG&amp;E's Q1 2026 earnings call/release, September 2025 investor update, recent California legislative coverage (SB 254, AB 2700), sell-side previews, and market data through July 22, 2026. All forward-looking items are subject to the wildfire, regulatory, and legislative uncertainties PG&amp;E discloses in its SEC filings.</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2026-07-23T00:52:31Z</dcterms:created>
  <dcterms:modified xsi:type="dcterms:W3CDTF">2026-07-23T00:52:31Z</dcterms:modified>
</cp:coreProperties>
</file>

<file path=docProps/custom.xml><?xml version="1.0" encoding="utf-8"?>
<Properties xmlns="http://schemas.openxmlformats.org/officeDocument/2006/custom-properties" xmlns:vt="http://schemas.openxmlformats.org/officeDocument/2006/docPropsVTypes"/>
</file>