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cg-earnings-predictions--2026-07-23"/>
    <w:p>
      <w:pPr>
        <w:pStyle w:val="Heading1"/>
      </w:pPr>
      <w:r>
        <w:t xml:space="preserve">PCG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(non-GAAP)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~$0.39 vs. cons $0.37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~$6.35B vs. cons $6.27B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Non-fuel O&amp;M expense (y/y change)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~-3% vs. cons -1%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~$1.65 vs. cons $1.65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EPS CAGR guidance (2026-2030)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~9% vs. cons 9% (2026-2030)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5-year capital plan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~$73B vs. cons $73B (2026-2030)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(FADE)</w:t>
            </w:r>
          </w:p>
        </w:tc>
        <w:tc>
          <w:tcPr/>
          <w:p>
            <w:pPr>
              <w:pStyle w:val="Compact"/>
            </w:pPr>
            <w:r>
              <w:t xml:space="preserve">Q1'26 core EPS beat consensus by ~$0.10 yet FY guide stayed at</w:t>
            </w:r>
            <w:r>
              <w:t xml:space="preserve"> </w:t>
            </w:r>
            <m:oMath>
              <m:r>
                <m:t>1.64</m:t>
              </m:r>
              <m:r>
                <m:rPr>
                  <m:sty m:val="p"/>
                </m:rPr>
                <m:t>−</m:t>
              </m:r>
              <m:r>
                <m:t>1.66</m:t>
              </m:r>
              <m:r>
                <m:rPr>
                  <m:sty m:val="p"/>
                </m:rPr>
                <m:t>,</m:t>
              </m:r>
              <m:r>
                <m:t>f</m:t>
              </m:r>
              <m:r>
                <m:t>o</m:t>
              </m:r>
              <m:r>
                <m:t>r</m:t>
              </m:r>
              <m:r>
                <m:t>c</m:t>
              </m:r>
              <m:r>
                <m:t>i</m:t>
              </m:r>
              <m:r>
                <m:t>n</m:t>
              </m:r>
              <m:r>
                <m:t>g</m:t>
              </m:r>
              <m:r>
                <m:t>a</m:t>
              </m:r>
              <m:r>
                <m:t>n</m:t>
              </m:r>
              <m:r>
                <m:t>a</m:t>
              </m:r>
              <m:r>
                <m:t>l</m:t>
              </m:r>
              <m:r>
                <m:t>y</m:t>
              </m:r>
              <m:r>
                <m:t>s</m:t>
              </m:r>
              <m:r>
                <m:t>t</m:t>
              </m:r>
              <m:r>
                <m:t>s</m:t>
              </m:r>
              <m:r>
                <m:t>t</m:t>
              </m:r>
              <m:r>
                <m:t>o</m:t>
              </m:r>
              <m:r>
                <m:t>t</m:t>
              </m:r>
              <m:r>
                <m:t>r</m:t>
              </m:r>
              <m:r>
                <m:t>i</m:t>
              </m:r>
              <m:r>
                <m:t>m</m:t>
              </m:r>
              <m:r>
                <m:t>H</m:t>
              </m:r>
              <m:r>
                <m:t>2</m:t>
              </m:r>
              <m:r>
                <m:t>n</m:t>
              </m:r>
              <m:r>
                <m:t>u</m:t>
              </m:r>
              <m:r>
                <m:t>m</m:t>
              </m:r>
              <m:r>
                <m:t>b</m:t>
              </m:r>
              <m:r>
                <m:t>e</m:t>
              </m:r>
              <m:r>
                <m:t>r</m:t>
              </m:r>
              <m:r>
                <m:t>s</m:t>
              </m:r>
              <m:r>
                <m:t>t</m:t>
              </m:r>
              <m:r>
                <m:t>o</m:t>
              </m:r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n</m:t>
              </m:r>
              <m:r>
                <m:t>c</m:t>
              </m:r>
              <m:r>
                <m:t>i</m:t>
              </m:r>
              <m:r>
                <m:t>l</m:t>
              </m:r>
              <m:r>
                <m:t>e</m:t>
              </m:r>
              <m:r>
                <m:rPr>
                  <m:sty m:val="p"/>
                </m:rPr>
                <m:t>−</m:t>
              </m:r>
              <m:r>
                <m:t>P</m:t>
              </m:r>
              <m:r>
                <m:t>C</m:t>
              </m:r>
              <m:r>
                <m:t>G</m:t>
              </m:r>
              <m:r>
                <m:t>t</m:t>
              </m:r>
              <m:r>
                <m:t>h</m:t>
              </m:r>
              <m:r>
                <m:t>e</m:t>
              </m:r>
              <m:r>
                <m:t>n</m:t>
              </m:r>
              <m:r>
                <m:t>f</m:t>
              </m:r>
              <m:r>
                <m:t>a</m:t>
              </m:r>
              <m:r>
                <m:t>d</m:t>
              </m:r>
              <m:r>
                <m:t>e</m:t>
              </m:r>
              <m:r>
                <m:t>d</m:t>
              </m:r>
              <m:r>
                <m:t> </m:t>
              </m:r>
              <m:r>
                <m:t>3</m:t>
              </m:r>
            </m:oMath>
            <w:r>
              <w:t xml:space="preserve">0.43+</w:t>
            </w:r>
            <m:oMath>
              <m:r>
                <m:t>0.39</m:t>
              </m:r>
              <m:r>
                <m:rPr>
                  <m:sty m:val="p"/>
                </m:rPr>
                <m:t>=</m:t>
              </m:r>
            </m:oMath>
            <w:r>
              <w:t xml:space="preserve">0.82) vs unchanged FY guide implies flat-to-lower implied H2 run-rate, an implicit cut to out-quarter estimates even if Q2 itself beats. Stock also rallied +3.5% into the print (pricing in optimism/BMO $28 target), leaving little room for upside surprise, while the dominant catalyst - SB254 Phase 2 wildfire-liability reform - remains unresolved through the Aug legislative session, so 'reaffirm and wait' commentary likely disappoints an already-elevated bar.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2026-07-23T00:58:57Z</dcterms:created>
  <dcterms:modified xsi:type="dcterms:W3CDTF">2026-07-23T00:58:57Z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