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ge-nyse-pcg--2q26-earnings-preview"/>
    <w:p>
      <w:pPr>
        <w:pStyle w:val="Heading1"/>
      </w:pPr>
      <w:r>
        <w:t xml:space="preserve">PG&amp;E (NYSE: PCG) — 2Q26 Earnings Preview</w:t>
      </w:r>
    </w:p>
    <w:p>
      <w:pPr>
        <w:pStyle w:val="BlockText"/>
      </w:pPr>
      <w:r>
        <w:rPr>
          <w:b/>
          <w:bCs/>
        </w:rPr>
        <w:t xml:space="preserve">Timing note:</w:t>
      </w:r>
      <w:r>
        <w:t xml:space="preserve"> </w:t>
      </w:r>
      <w:r>
        <w:t xml:space="preserve">The event is scheduled for</w:t>
      </w:r>
      <w:r>
        <w:t xml:space="preserve"> </w:t>
      </w:r>
      <w:r>
        <w:rPr>
          <w:b/>
          <w:bCs/>
        </w:rPr>
        <w:t xml:space="preserve">Thursday, July 23, 2026, at 11:00 a.m. ET / 8:00 a.m. PT</w:t>
      </w:r>
      <w:r>
        <w:t xml:space="preserve">—that is</w:t>
      </w:r>
      <w:r>
        <w:t xml:space="preserve"> </w:t>
      </w:r>
      <w:r>
        <w:rPr>
          <w:b/>
          <w:bCs/>
        </w:rPr>
        <w:t xml:space="preserve">today</w:t>
      </w:r>
      <w:r>
        <w:t xml:space="preserve">, not tomorrow. This preview is therefore framed for investors ahead of the scheduled call.</w:t>
      </w:r>
    </w:p>
    <w:bookmarkStart w:id="9" w:name="X9e5c310a2af63519dc7d9d37d74989104c33652"/>
    <w:p>
      <w:pPr>
        <w:pStyle w:val="Heading2"/>
      </w:pPr>
      <w:r>
        <w:t xml:space="preserve">Investment view: a guidance-and-derisking call, not just a quarterly EPS event</w:t>
      </w:r>
    </w:p>
    <w:p>
      <w:pPr>
        <w:pStyle w:val="FirstParagraph"/>
      </w:pPr>
      <w:r>
        <w:t xml:space="preserve">For PCG, the second-quarter earnings number matters, but the larger share-price drivers are likely to be:</w:t>
      </w:r>
    </w:p>
    <w:p>
      <w:pPr>
        <w:pStyle w:val="Compact"/>
        <w:numPr>
          <w:ilvl w:val="0"/>
          <w:numId w:val="1001"/>
        </w:numPr>
      </w:pPr>
      <w:r>
        <w:rPr>
          <w:b/>
          <w:bCs/>
        </w:rPr>
        <w:t xml:space="preserve">Confidence in 2026 core-EPS guidance</w:t>
      </w:r>
      <w:r>
        <w:t xml:space="preserve">;</w:t>
      </w:r>
    </w:p>
    <w:p>
      <w:pPr>
        <w:pStyle w:val="Compact"/>
        <w:numPr>
          <w:ilvl w:val="0"/>
          <w:numId w:val="1001"/>
        </w:numPr>
      </w:pPr>
      <w:r>
        <w:rPr>
          <w:b/>
          <w:bCs/>
        </w:rPr>
        <w:t xml:space="preserve">Concrete progress toward California wildfire-liability reform</w:t>
      </w:r>
      <w:r>
        <w:t xml:space="preserve">;</w:t>
      </w:r>
    </w:p>
    <w:p>
      <w:pPr>
        <w:pStyle w:val="Compact"/>
        <w:numPr>
          <w:ilvl w:val="0"/>
          <w:numId w:val="1001"/>
        </w:numPr>
      </w:pPr>
      <w:r>
        <w:rPr>
          <w:b/>
          <w:bCs/>
        </w:rPr>
        <w:t xml:space="preserve">Execution on the affordability/capital-investment model</w:t>
      </w:r>
      <w:r>
        <w:t xml:space="preserve">; and</w:t>
      </w:r>
    </w:p>
    <w:p>
      <w:pPr>
        <w:pStyle w:val="Compact"/>
        <w:numPr>
          <w:ilvl w:val="0"/>
          <w:numId w:val="1001"/>
        </w:numPr>
      </w:pPr>
      <w:r>
        <w:rPr>
          <w:b/>
          <w:bCs/>
        </w:rPr>
        <w:t xml:space="preserve">Evidence that large-load and data-center demand can improve customer economics without diluting regulatory or credit discipline.</w:t>
      </w:r>
    </w:p>
    <w:p>
      <w:pPr>
        <w:pStyle w:val="FirstParagraph"/>
      </w:pPr>
      <w:r>
        <w:t xml:space="preserve">Management entered the year with a strong first quarter and reaffirmed</w:t>
      </w:r>
      <w:r>
        <w:t xml:space="preserve"> </w:t>
      </w:r>
      <w:r>
        <w:rPr>
          <w:b/>
          <w:bCs/>
        </w:rPr>
        <w:t xml:space="preserve">2026 non-GAAP core EPS of</w:t>
      </w:r>
      <w:r>
        <w:rPr>
          <w:b/>
          <w:bCs/>
        </w:rPr>
        <w:t xml:space="preserve"> </w:t>
      </w:r>
      <m:oMath>
        <m:r>
          <m:t>1.64</m:t>
        </m:r>
        <m:r>
          <m:rPr>
            <m:sty m:val="p"/>
          </m:rPr>
          <m:t>–</m:t>
        </m:r>
      </m:oMath>
      <w:r>
        <w:rPr>
          <w:b/>
          <w:bCs/>
        </w:rPr>
        <w:t xml:space="preserve">1.66</w:t>
      </w:r>
      <w:r>
        <w:t xml:space="preserve">, implying roughly 10% growth at the midpoint. It also reiterated a</w:t>
      </w:r>
      <w:r>
        <w:t xml:space="preserve"> </w:t>
      </w:r>
      <w:r>
        <w:rPr>
          <w:b/>
          <w:bCs/>
        </w:rPr>
        <w:t xml:space="preserve">9%+ annual core-EPS growth outlook for 2027–30</w:t>
      </w:r>
      <w:r>
        <w:t xml:space="preserve">, a</w:t>
      </w:r>
      <w:r>
        <w:t xml:space="preserve"> </w:t>
      </w:r>
      <w:r>
        <w:rPr>
          <w:b/>
          <w:bCs/>
        </w:rPr>
        <w:t xml:space="preserve">$73 billion five-year capital plan through 2030</w:t>
      </w:r>
      <w:r>
        <w:t xml:space="preserve">, and—critically—</w:t>
      </w:r>
      <w:r>
        <w:rPr>
          <w:b/>
          <w:bCs/>
        </w:rPr>
        <w:t xml:space="preserve">no new common-equity issuance through 2030</w:t>
      </w:r>
      <w:r>
        <w:t xml:space="preserve">. The central issue for the stock is whether the company can preserve that framework while California addresses long-tail wildfire risk.</w:t>
      </w:r>
    </w:p>
    <w:p>
      <w:pPr>
        <w:pStyle w:val="BodyText"/>
      </w:pPr>
      <w:r>
        <w:t xml:space="preserve">PCG closed at</w:t>
      </w:r>
      <w:r>
        <w:t xml:space="preserve"> </w:t>
      </w:r>
      <w:r>
        <w:rPr>
          <w:b/>
          <w:bCs/>
        </w:rPr>
        <w:t xml:space="preserve">$18.10 on July 22</w:t>
      </w:r>
      <w:r>
        <w:t xml:space="preserve">, up about</w:t>
      </w:r>
      <w:r>
        <w:t xml:space="preserve"> </w:t>
      </w:r>
      <w:r>
        <w:rPr>
          <w:b/>
          <w:bCs/>
        </w:rPr>
        <w:t xml:space="preserve">7.5% from the April 23 first-quarter earnings-call date</w:t>
      </w:r>
      <w:r>
        <w:t xml:space="preserve">, suggesting investors have become incrementally more constructive heading into the report.</w:t>
      </w:r>
    </w:p>
    <w:p>
      <w:r>
        <w:pict>
          <v:rect style="width:0;height:1.5pt" o:hralign="center" o:hrstd="t" o:hr="t"/>
        </w:pict>
      </w:r>
    </w:p>
    <w:bookmarkEnd w:id="9"/>
    <w:bookmarkStart w:id="10" w:name="Xb1f3cdb90a728d22ba00177a0376105943f3c64"/>
    <w:p>
      <w:pPr>
        <w:pStyle w:val="Heading2"/>
      </w:pPr>
      <w:r>
        <w:t xml:space="preserve">What happened last quarter—and what it sets up for 2Q</w:t>
      </w:r>
    </w:p>
    <w:p>
      <w:pPr>
        <w:pStyle w:val="FirstParagraph"/>
      </w:pPr>
      <w:r>
        <w:t xml:space="preserve">In 1Q26, PG&amp;E reported: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1Q25</w:t>
            </w:r>
          </w:p>
        </w:tc>
        <w:tc>
          <w:tcPr/>
          <w:p>
            <w:pPr>
              <w:pStyle w:val="Compact"/>
              <w:jc w:val="right"/>
            </w:pPr>
            <w:r>
              <w:t xml:space="preserve">YoY change</w:t>
            </w:r>
          </w:p>
        </w:tc>
      </w:tr>
      <w:tr>
        <w:tc>
          <w:tcPr/>
          <w:p>
            <w:pPr>
              <w:pStyle w:val="Compact"/>
            </w:pPr>
            <w:r>
              <w:t xml:space="preserve">GAAP EPS</w:t>
            </w:r>
          </w:p>
        </w:tc>
        <w:tc>
          <w:tcPr/>
          <w:p>
            <w:pPr>
              <w:pStyle w:val="Compact"/>
              <w:jc w:val="right"/>
            </w:pPr>
            <w:r>
              <w:t xml:space="preserve">$0.39</w:t>
            </w:r>
          </w:p>
        </w:tc>
        <w:tc>
          <w:tcPr/>
          <w:p>
            <w:pPr>
              <w:pStyle w:val="Compact"/>
              <w:jc w:val="right"/>
            </w:pPr>
            <w:r>
              <w:t xml:space="preserve">$0.28</w:t>
            </w:r>
          </w:p>
        </w:tc>
        <w:tc>
          <w:tcPr/>
          <w:p>
            <w:pPr>
              <w:pStyle w:val="Compact"/>
              <w:jc w:val="right"/>
            </w:pPr>
            <w:r>
              <w:t xml:space="preserve">+39%</w:t>
            </w:r>
          </w:p>
        </w:tc>
      </w:tr>
      <w:tr>
        <w:tc>
          <w:tcPr/>
          <w:p>
            <w:pPr>
              <w:pStyle w:val="Compact"/>
            </w:pPr>
            <w:r>
              <w:t xml:space="preserve">Core EPS</w:t>
            </w:r>
          </w:p>
        </w:tc>
        <w:tc>
          <w:tcPr/>
          <w:p>
            <w:pPr>
              <w:pStyle w:val="Compact"/>
              <w:jc w:val="right"/>
            </w:pPr>
            <w:r>
              <w:t xml:space="preserve">$0.43</w:t>
            </w:r>
          </w:p>
        </w:tc>
        <w:tc>
          <w:tcPr/>
          <w:p>
            <w:pPr>
              <w:pStyle w:val="Compact"/>
              <w:jc w:val="right"/>
            </w:pPr>
            <w:r>
              <w:t xml:space="preserve">$0.33</w:t>
            </w:r>
          </w:p>
        </w:tc>
        <w:tc>
          <w:tcPr/>
          <w:p>
            <w:pPr>
              <w:pStyle w:val="Compact"/>
              <w:jc w:val="right"/>
            </w:pPr>
            <w:r>
              <w:t xml:space="preserve">+30%</w:t>
            </w:r>
          </w:p>
        </w:tc>
      </w:tr>
      <w:tr>
        <w:tc>
          <w:tcPr/>
          <w:p>
            <w:pPr>
              <w:pStyle w:val="Compact"/>
            </w:pPr>
            <w:r>
              <w:t xml:space="preserve">Income available to common shareholders</w:t>
            </w:r>
          </w:p>
        </w:tc>
        <w:tc>
          <w:tcPr/>
          <w:p>
            <w:pPr>
              <w:pStyle w:val="Compact"/>
              <w:jc w:val="right"/>
            </w:pPr>
            <w:r>
              <w:t xml:space="preserve">$858M</w:t>
            </w:r>
          </w:p>
        </w:tc>
        <w:tc>
          <w:tcPr/>
          <w:p>
            <w:pPr>
              <w:pStyle w:val="Compact"/>
              <w:jc w:val="right"/>
            </w:pPr>
            <w:r>
              <w:t xml:space="preserve">$607M</w:t>
            </w:r>
          </w:p>
        </w:tc>
        <w:tc>
          <w:tcPr/>
          <w:p>
            <w:pPr>
              <w:pStyle w:val="Compact"/>
              <w:jc w:val="right"/>
            </w:pPr>
            <w:r>
              <w:t xml:space="preserve">+41%</w:t>
            </w:r>
          </w:p>
        </w:tc>
      </w:tr>
      <w:tr>
        <w:tc>
          <w:tcPr/>
          <w:p>
            <w:pPr>
              <w:pStyle w:val="Compact"/>
            </w:pPr>
            <w:r>
              <w:t xml:space="preserve">Core earnings</w:t>
            </w:r>
          </w:p>
        </w:tc>
        <w:tc>
          <w:tcPr/>
          <w:p>
            <w:pPr>
              <w:pStyle w:val="Compact"/>
              <w:jc w:val="right"/>
            </w:pPr>
            <w:r>
              <w:t xml:space="preserve">$982M</w:t>
            </w:r>
          </w:p>
        </w:tc>
        <w:tc>
          <w:tcPr/>
          <w:p>
            <w:pPr>
              <w:pStyle w:val="Compact"/>
              <w:jc w:val="right"/>
            </w:pPr>
            <w:r>
              <w:t xml:space="preserve">$728M</w:t>
            </w:r>
          </w:p>
        </w:tc>
        <w:tc>
          <w:tcPr/>
          <w:p>
            <w:pPr>
              <w:pStyle w:val="Compact"/>
              <w:jc w:val="right"/>
            </w:pPr>
            <w:r>
              <w:t xml:space="preserve">+35%</w:t>
            </w:r>
          </w:p>
        </w:tc>
      </w:tr>
    </w:tbl>
    <w:p>
      <w:pPr>
        <w:pStyle w:val="BodyText"/>
      </w:pPr>
      <w:r>
        <w:t xml:space="preserve">The earnings improvement was principally driven by customer capital investment and rate-base growth, the final decision in the 2023 wildfire-mitigation proceeding, and O&amp;M savings. These were partly offset by the lower allowed ROE in 2026, higher interest expense, wildfire-related claims, and Wildfire Fund expense.</w:t>
      </w:r>
    </w:p>
    <w:p>
      <w:pPr>
        <w:pStyle w:val="BodyText"/>
      </w:pPr>
      <w:r>
        <w:t xml:space="preserve">The important nuance: management characterized</w:t>
      </w:r>
      <w:r>
        <w:t xml:space="preserve"> </w:t>
      </w:r>
      <w:r>
        <w:rPr>
          <w:b/>
          <w:bCs/>
        </w:rPr>
        <w:t xml:space="preserve">$0.03 of the first-quarter year-over-year improvement as “timing and other.”</w:t>
      </w:r>
      <w:r>
        <w:t xml:space="preserve"> </w:t>
      </w:r>
      <w:r>
        <w:t xml:space="preserve">Investors should therefore focus less on whether 2Q mechanically extrapolates the first-quarter beat and more on whether PCG can reaffirm that full-year guidance remains intact without relying on favorable timing.</w:t>
      </w:r>
    </w:p>
    <w:p>
      <w:r>
        <w:pict>
          <v:rect style="width:0;height:1.5pt" o:hralign="center" o:hrstd="t" o:hr="t"/>
        </w:pict>
      </w:r>
    </w:p>
    <w:bookmarkEnd w:id="10"/>
    <w:bookmarkStart w:id="12" w:name="Xc111a3cd068d629cec473a5e4f3620f28ddc406"/>
    <w:p>
      <w:pPr>
        <w:pStyle w:val="Heading2"/>
      </w:pPr>
      <w:r>
        <w:t xml:space="preserve">The core debate: can PCG retain its capital-allocation framework?</w:t>
      </w:r>
    </w:p>
    <w:p>
      <w:pPr>
        <w:pStyle w:val="FirstParagraph"/>
      </w:pPr>
      <w:r>
        <w:t xml:space="preserve">PCG’s current financial plan rests on three linked propositions:</w:t>
      </w:r>
    </w:p>
    <w:p>
      <w:pPr>
        <w:pStyle w:val="Compact"/>
        <w:numPr>
          <w:ilvl w:val="0"/>
          <w:numId w:val="1002"/>
        </w:numPr>
      </w:pPr>
      <w:r>
        <w:rPr>
          <w:b/>
          <w:bCs/>
        </w:rPr>
        <w:t xml:space="preserve">No common equity issuance through 2030</w:t>
      </w:r>
      <w:r>
        <w:t xml:space="preserve">;</w:t>
      </w:r>
    </w:p>
    <w:p>
      <w:pPr>
        <w:pStyle w:val="Compact"/>
        <w:numPr>
          <w:ilvl w:val="0"/>
          <w:numId w:val="1002"/>
        </w:numPr>
      </w:pPr>
      <w:r>
        <w:t xml:space="preserve">Maintaining or achieving investment-grade credit metrics; and</w:t>
      </w:r>
    </w:p>
    <w:p>
      <w:pPr>
        <w:pStyle w:val="Compact"/>
        <w:numPr>
          <w:ilvl w:val="0"/>
          <w:numId w:val="1002"/>
        </w:numPr>
      </w:pPr>
      <w:r>
        <w:t xml:space="preserve">Gradually increasing the common dividend payout ratio to</w:t>
      </w:r>
      <w:r>
        <w:t xml:space="preserve"> </w:t>
      </w:r>
      <w:r>
        <w:rPr>
          <w:b/>
          <w:bCs/>
        </w:rPr>
        <w:t xml:space="preserve">20% by 2028</w:t>
      </w:r>
      <w:r>
        <w:t xml:space="preserve">.</w:t>
      </w:r>
    </w:p>
    <w:p>
      <w:pPr>
        <w:pStyle w:val="FirstParagraph"/>
      </w:pPr>
      <w:r>
        <w:t xml:space="preserve">The major conditionality is wildfire reform. Management has been clear: if California does not produce a credible long-term liability solution, it will reconsider all aspects of capital allocation. That makes the earnings call an important referendum on the degree of legislative and regulatory progress—not merely on quarterly operations.</w:t>
      </w:r>
    </w:p>
    <w:bookmarkStart w:id="11" w:name="why-investors-should-care"/>
    <w:p>
      <w:pPr>
        <w:pStyle w:val="Heading3"/>
      </w:pPr>
      <w:r>
        <w:t xml:space="preserve">Why investors should care</w:t>
      </w:r>
    </w:p>
    <w:p>
      <w:pPr>
        <w:pStyle w:val="FirstParagraph"/>
      </w:pPr>
      <w:r>
        <w:t xml:space="preserve">A durable framework that makes wildfire tail risk quantifiable could lower the company’s cost of capital, support its plan to reach investment-grade ratings, and validate the no-equity financing plan. Conversely, vague legislative progress, additional shareholder-funded wildfire obligations, or a perceived deterioration in the regulatory backdrop could renew debate over equity issuance, dividends, buybacks, leverage, and the size of the capital plan.</w:t>
      </w:r>
    </w:p>
    <w:p>
      <w:r>
        <w:pict>
          <v:rect style="width:0;height:1.5pt" o:hralign="center" o:hrstd="t" o:hr="t"/>
        </w:pict>
      </w:r>
    </w:p>
    <w:bookmarkEnd w:id="11"/>
    <w:bookmarkEnd w:id="12"/>
    <w:bookmarkStart w:id="17" w:name="Xbe934715a23c6e8f616aa478d37ddf4a65806e1"/>
    <w:p>
      <w:pPr>
        <w:pStyle w:val="Heading2"/>
      </w:pPr>
      <w:r>
        <w:t xml:space="preserve">Four issues most likely to matter on the call</w:t>
      </w:r>
    </w:p>
    <w:bookmarkStart w:id="13" w:name="X70b4d6cd3cfcecfd3deba2c918d4282ce2d395c"/>
    <w:p>
      <w:pPr>
        <w:pStyle w:val="Heading3"/>
      </w:pPr>
      <w:r>
        <w:t xml:space="preserve">1. California wildfire-liability reform: the highest-impact catalyst</w:t>
      </w:r>
    </w:p>
    <w:p>
      <w:pPr>
        <w:pStyle w:val="FirstParagraph"/>
      </w:pPr>
      <w:r>
        <w:t xml:space="preserve">This remains the most material issue for PCG equity. In the first-quarter call, management emphasized that its minimum requirement is a framework under which wildfire tail risk can be</w:t>
      </w:r>
      <w:r>
        <w:t xml:space="preserve"> </w:t>
      </w:r>
      <w:r>
        <w:rPr>
          <w:b/>
          <w:bCs/>
        </w:rPr>
        <w:t xml:space="preserve">modeled and quantified</w:t>
      </w:r>
      <w:r>
        <w:t xml:space="preserve"> </w:t>
      </w:r>
      <w:r>
        <w:t xml:space="preserve">by investors.</w:t>
      </w:r>
    </w:p>
    <w:p>
      <w:pPr>
        <w:pStyle w:val="BodyText"/>
      </w:pPr>
      <w:r>
        <w:t xml:space="preserve">Investors should listen for:</w:t>
      </w:r>
    </w:p>
    <w:p>
      <w:pPr>
        <w:pStyle w:val="Compact"/>
        <w:numPr>
          <w:ilvl w:val="0"/>
          <w:numId w:val="1003"/>
        </w:numPr>
      </w:pPr>
      <w:r>
        <w:t xml:space="preserve">Whether management sees a viable legislative package emerging before the end of California’s legislative session;</w:t>
      </w:r>
    </w:p>
    <w:p>
      <w:pPr>
        <w:pStyle w:val="Compact"/>
        <w:numPr>
          <w:ilvl w:val="0"/>
          <w:numId w:val="1003"/>
        </w:numPr>
      </w:pPr>
      <w:r>
        <w:t xml:space="preserve">The expected role of liability limits, a state backstop, community hardening, insurance reforms, or other mechanisms;</w:t>
      </w:r>
    </w:p>
    <w:p>
      <w:pPr>
        <w:pStyle w:val="Compact"/>
        <w:numPr>
          <w:ilvl w:val="0"/>
          <w:numId w:val="1003"/>
        </w:numPr>
      </w:pPr>
      <w:r>
        <w:t xml:space="preserve">Whether potential shareholder contributions would be acceptable only in exchange for a materially improved risk framework;</w:t>
      </w:r>
    </w:p>
    <w:p>
      <w:pPr>
        <w:pStyle w:val="Compact"/>
        <w:numPr>
          <w:ilvl w:val="0"/>
          <w:numId w:val="1003"/>
        </w:numPr>
      </w:pPr>
      <w:r>
        <w:t xml:space="preserve">Any change in management’s tone on the probability, scope, or timetable of reform.</w:t>
      </w:r>
    </w:p>
    <w:p>
      <w:pPr>
        <w:pStyle w:val="FirstParagraph"/>
      </w:pPr>
      <w:r>
        <w:rPr>
          <w:b/>
          <w:bCs/>
        </w:rPr>
        <w:t xml:space="preserve">Read-through:</w:t>
      </w:r>
      <w:r>
        <w:t xml:space="preserve"> </w:t>
      </w:r>
      <w:r>
        <w:t xml:space="preserve">A more specific and constructive update could matter more for the equity than a modest earnings beat. A message that negotiations remain preliminary or that reform could slip would reintroduce financing and valuation risk.</w:t>
      </w:r>
    </w:p>
    <w:p>
      <w:r>
        <w:pict>
          <v:rect style="width:0;height:1.5pt" o:hralign="center" o:hrstd="t" o:hr="t"/>
        </w:pict>
      </w:r>
    </w:p>
    <w:bookmarkEnd w:id="13"/>
    <w:bookmarkStart w:id="14" w:name="Xea9306878cb275f03607c514a1334f8c023658b"/>
    <w:p>
      <w:pPr>
        <w:pStyle w:val="Heading3"/>
      </w:pPr>
      <w:r>
        <w:t xml:space="preserve">2. Wildfire season, system performance, and operating-cost discipline</w:t>
      </w:r>
    </w:p>
    <w:p>
      <w:pPr>
        <w:pStyle w:val="FirstParagraph"/>
      </w:pPr>
      <w:r>
        <w:t xml:space="preserve">The reporting period ends before the height of late-summer and fall fire risk, but the call offers management an opportunity to discuss current system readiness and early-season performance.</w:t>
      </w:r>
    </w:p>
    <w:p>
      <w:pPr>
        <w:pStyle w:val="BodyText"/>
      </w:pPr>
      <w:r>
        <w:t xml:space="preserve">PCG has emphasized technology-enabled prevention: continuous monitoring, sensors, analytics, covered conductor, undergrounding, and other hardening measures. In 1Q, it said continuous monitoring helped avoid approximately</w:t>
      </w:r>
      <w:r>
        <w:t xml:space="preserve"> </w:t>
      </w:r>
      <w:r>
        <w:rPr>
          <w:b/>
          <w:bCs/>
        </w:rPr>
        <w:t xml:space="preserve">4 million unplanned customer outage minutes</w:t>
      </w:r>
      <w:r>
        <w:t xml:space="preserve"> </w:t>
      </w:r>
      <w:r>
        <w:t xml:space="preserve">and identified potential equipment issues before they became outages or ignitions.</w:t>
      </w:r>
    </w:p>
    <w:p>
      <w:pPr>
        <w:pStyle w:val="BodyText"/>
      </w:pPr>
      <w:r>
        <w:t xml:space="preserve">Key questions:</w:t>
      </w:r>
    </w:p>
    <w:p>
      <w:pPr>
        <w:pStyle w:val="Compact"/>
        <w:numPr>
          <w:ilvl w:val="0"/>
          <w:numId w:val="1004"/>
        </w:numPr>
      </w:pPr>
      <w:r>
        <w:t xml:space="preserve">Have there been any material ignition, outage, public-safety power shutoff, or claims developments since quarter-end?</w:t>
      </w:r>
    </w:p>
    <w:p>
      <w:pPr>
        <w:pStyle w:val="Compact"/>
        <w:numPr>
          <w:ilvl w:val="0"/>
          <w:numId w:val="1004"/>
        </w:numPr>
      </w:pPr>
      <w:r>
        <w:t xml:space="preserve">Is the 2026 wildfire-mitigation plan running on schedule and budget?</w:t>
      </w:r>
    </w:p>
    <w:p>
      <w:pPr>
        <w:pStyle w:val="Compact"/>
        <w:numPr>
          <w:ilvl w:val="0"/>
          <w:numId w:val="1004"/>
        </w:numPr>
      </w:pPr>
      <w:r>
        <w:t xml:space="preserve">Are O&amp;M reductions continuing without undermining safety execution?</w:t>
      </w:r>
    </w:p>
    <w:p>
      <w:pPr>
        <w:pStyle w:val="Compact"/>
        <w:numPr>
          <w:ilvl w:val="0"/>
          <w:numId w:val="1004"/>
        </w:numPr>
      </w:pPr>
      <w:r>
        <w:t xml:space="preserve">Has the company needed to redeploy expected O&amp;M savings into risk reduction or reliability work?</w:t>
      </w:r>
    </w:p>
    <w:p>
      <w:pPr>
        <w:pStyle w:val="FirstParagraph"/>
      </w:pPr>
      <w:r>
        <w:t xml:space="preserve">PCG still targets a</w:t>
      </w:r>
      <w:r>
        <w:t xml:space="preserve"> </w:t>
      </w:r>
      <w:r>
        <w:rPr>
          <w:b/>
          <w:bCs/>
        </w:rPr>
        <w:t xml:space="preserve">2%–4% reduction in non-fuel O&amp;M costs</w:t>
      </w:r>
      <w:r>
        <w:t xml:space="preserve">, including inflation and other cost pressures. That target is important because it is central to its affordability narrative and helps fund capital investment without excessive customer-bill growth.</w:t>
      </w:r>
    </w:p>
    <w:p>
      <w:r>
        <w:pict>
          <v:rect style="width:0;height:1.5pt" o:hralign="center" o:hrstd="t" o:hr="t"/>
        </w:pict>
      </w:r>
    </w:p>
    <w:bookmarkEnd w:id="14"/>
    <w:bookmarkStart w:id="15" w:name="X1569807118368fb279ef54f04a85dbd1dcdec00"/>
    <w:p>
      <w:pPr>
        <w:pStyle w:val="Heading3"/>
      </w:pPr>
      <w:r>
        <w:t xml:space="preserve">3. Affordability and the 2027 general rate case</w:t>
      </w:r>
    </w:p>
    <w:p>
      <w:pPr>
        <w:pStyle w:val="FirstParagraph"/>
      </w:pPr>
      <w:r>
        <w:t xml:space="preserve">The company’s strategy depends on demonstrating that it can invest aggressively while controlling bills. It has repeatedly highlighted that bundled residential electric rates are down since early 2024—particularly for CARE customers—while it continues to fund grid hardening and reliability investment.</w:t>
      </w:r>
    </w:p>
    <w:p>
      <w:pPr>
        <w:pStyle w:val="BodyText"/>
      </w:pPr>
      <w:r>
        <w:t xml:space="preserve">The next important checkpoint is the</w:t>
      </w:r>
      <w:r>
        <w:t xml:space="preserve"> </w:t>
      </w:r>
      <w:r>
        <w:rPr>
          <w:b/>
          <w:bCs/>
        </w:rPr>
        <w:t xml:space="preserve">2027 general rate case</w:t>
      </w:r>
      <w:r>
        <w:t xml:space="preserve">. On the first-quarter call, management said evidentiary hearings were underway in May and left open the possibility of a settlement, while noting the CPUC’s preference for fully adjudicated rate cases.</w:t>
      </w:r>
    </w:p>
    <w:p>
      <w:pPr>
        <w:pStyle w:val="BodyText"/>
      </w:pPr>
      <w:r>
        <w:t xml:space="preserve">Investors should look for:</w:t>
      </w:r>
    </w:p>
    <w:p>
      <w:pPr>
        <w:pStyle w:val="Compact"/>
        <w:numPr>
          <w:ilvl w:val="0"/>
          <w:numId w:val="1005"/>
        </w:numPr>
      </w:pPr>
      <w:r>
        <w:t xml:space="preserve">A status update on the rate case and whether settlement discussions have advanced;</w:t>
      </w:r>
    </w:p>
    <w:p>
      <w:pPr>
        <w:pStyle w:val="Compact"/>
        <w:numPr>
          <w:ilvl w:val="0"/>
          <w:numId w:val="1005"/>
        </w:numPr>
      </w:pPr>
      <w:r>
        <w:t xml:space="preserve">Any change to the company’s “path to flat” customer-bill-growth objective;</w:t>
      </w:r>
    </w:p>
    <w:p>
      <w:pPr>
        <w:pStyle w:val="Compact"/>
        <w:numPr>
          <w:ilvl w:val="0"/>
          <w:numId w:val="1005"/>
        </w:numPr>
      </w:pPr>
      <w:r>
        <w:t xml:space="preserve">Updated views on the pace and recoverability of wildfire, reliability, and undergrounding investment;</w:t>
      </w:r>
    </w:p>
    <w:p>
      <w:pPr>
        <w:pStyle w:val="Compact"/>
        <w:numPr>
          <w:ilvl w:val="0"/>
          <w:numId w:val="1005"/>
        </w:numPr>
      </w:pPr>
      <w:r>
        <w:t xml:space="preserve">Indications of political or regulatory pressure on allowed returns, capital recovery, or rate increases.</w:t>
      </w:r>
    </w:p>
    <w:p>
      <w:pPr>
        <w:pStyle w:val="FirstParagraph"/>
      </w:pPr>
      <w:r>
        <w:rPr>
          <w:b/>
          <w:bCs/>
        </w:rPr>
        <w:t xml:space="preserve">Why it matters:</w:t>
      </w:r>
      <w:r>
        <w:t xml:space="preserve"> </w:t>
      </w:r>
      <w:r>
        <w:t xml:space="preserve">The more PCG can show that affordability, system safety, and rate-base growth are mutually reinforcing, the stronger the case for a narrowing risk discount.</w:t>
      </w:r>
    </w:p>
    <w:p>
      <w:r>
        <w:pict>
          <v:rect style="width:0;height:1.5pt" o:hralign="center" o:hrstd="t" o:hr="t"/>
        </w:pict>
      </w:r>
    </w:p>
    <w:bookmarkEnd w:id="15"/>
    <w:bookmarkStart w:id="16" w:name="Xbbd3fc14a0f58f3b48cfd5745d450be8788914d"/>
    <w:p>
      <w:pPr>
        <w:pStyle w:val="Heading3"/>
      </w:pPr>
      <w:r>
        <w:t xml:space="preserve">4. Data centers and large-load growth: upside exists, but conversion is the test</w:t>
      </w:r>
    </w:p>
    <w:p>
      <w:pPr>
        <w:pStyle w:val="FirstParagraph"/>
      </w:pPr>
      <w:r>
        <w:t xml:space="preserve">PCG has one of the more compelling large-load narratives among regulated utilities, but its messaging has remained appropriately conservative. As of the first-quarter update:</w:t>
      </w:r>
    </w:p>
    <w:p>
      <w:pPr>
        <w:pStyle w:val="Compact"/>
        <w:numPr>
          <w:ilvl w:val="0"/>
          <w:numId w:val="1006"/>
        </w:numPr>
      </w:pPr>
      <w:r>
        <w:t xml:space="preserve">Approximately</w:t>
      </w:r>
      <w:r>
        <w:t xml:space="preserve"> </w:t>
      </w:r>
      <w:r>
        <w:rPr>
          <w:b/>
          <w:bCs/>
        </w:rPr>
        <w:t xml:space="preserve">4.6 GW</w:t>
      </w:r>
      <w:r>
        <w:t xml:space="preserve"> </w:t>
      </w:r>
      <w:r>
        <w:t xml:space="preserve">of potential data-center load was in final engineering;</w:t>
      </w:r>
    </w:p>
    <w:p>
      <w:pPr>
        <w:pStyle w:val="Compact"/>
        <w:numPr>
          <w:ilvl w:val="0"/>
          <w:numId w:val="1006"/>
        </w:numPr>
      </w:pPr>
      <w:r>
        <w:t xml:space="preserve">Its newest cluster study reflected</w:t>
      </w:r>
      <w:r>
        <w:t xml:space="preserve"> </w:t>
      </w:r>
      <w:r>
        <w:rPr>
          <w:b/>
          <w:bCs/>
        </w:rPr>
        <w:t xml:space="preserve">more than 10 GW</w:t>
      </w:r>
      <w:r>
        <w:t xml:space="preserve"> </w:t>
      </w:r>
      <w:r>
        <w:t xml:space="preserve">of additional interest;</w:t>
      </w:r>
    </w:p>
    <w:p>
      <w:pPr>
        <w:pStyle w:val="Compact"/>
        <w:numPr>
          <w:ilvl w:val="0"/>
          <w:numId w:val="1006"/>
        </w:numPr>
      </w:pPr>
      <w:r>
        <w:t xml:space="preserve">Management expected approximately</w:t>
      </w:r>
      <w:r>
        <w:t xml:space="preserve"> </w:t>
      </w:r>
      <w:r>
        <w:rPr>
          <w:b/>
          <w:bCs/>
        </w:rPr>
        <w:t xml:space="preserve">1.8 GW</w:t>
      </w:r>
      <w:r>
        <w:t xml:space="preserve"> </w:t>
      </w:r>
      <w:r>
        <w:t xml:space="preserve">of new large load to be online by 2030;</w:t>
      </w:r>
    </w:p>
    <w:p>
      <w:pPr>
        <w:pStyle w:val="Compact"/>
        <w:numPr>
          <w:ilvl w:val="0"/>
          <w:numId w:val="1006"/>
        </w:numPr>
      </w:pPr>
      <w:r>
        <w:t xml:space="preserve">That load could reduce customer electric rates by roughly</w:t>
      </w:r>
      <w:r>
        <w:t xml:space="preserve"> </w:t>
      </w:r>
      <w:r>
        <w:rPr>
          <w:b/>
          <w:bCs/>
        </w:rPr>
        <w:t xml:space="preserve">1%–2%</w:t>
      </w:r>
      <w:r>
        <w:t xml:space="preserve"> </w:t>
      </w:r>
      <w:r>
        <w:t xml:space="preserve">over time, subject to execution and pricing discipline.</w:t>
      </w:r>
    </w:p>
    <w:p>
      <w:pPr>
        <w:pStyle w:val="FirstParagraph"/>
      </w:pPr>
      <w:r>
        <w:t xml:space="preserve">Management’s key condition is that new load must be</w:t>
      </w:r>
      <w:r>
        <w:t xml:space="preserve"> </w:t>
      </w:r>
      <w:r>
        <w:rPr>
          <w:b/>
          <w:bCs/>
        </w:rPr>
        <w:t xml:space="preserve">rate-reducing</w:t>
      </w:r>
      <w:r>
        <w:t xml:space="preserve"> </w:t>
      </w:r>
      <w:r>
        <w:t xml:space="preserve">for existing customers. That is a favorable political and regulatory framing, but it means investors should focus on quality rather than headline gigawatt totals.</w:t>
      </w:r>
    </w:p>
    <w:p>
      <w:pPr>
        <w:pStyle w:val="BodyText"/>
      </w:pPr>
      <w:r>
        <w:t xml:space="preserve">Questions to watch:</w:t>
      </w:r>
    </w:p>
    <w:p>
      <w:pPr>
        <w:pStyle w:val="Compact"/>
        <w:numPr>
          <w:ilvl w:val="0"/>
          <w:numId w:val="1007"/>
        </w:numPr>
      </w:pPr>
      <w:r>
        <w:t xml:space="preserve">How much of the 4.6 GW in final engineering has progressed toward binding construction commitments?</w:t>
      </w:r>
    </w:p>
    <w:p>
      <w:pPr>
        <w:pStyle w:val="Compact"/>
        <w:numPr>
          <w:ilvl w:val="0"/>
          <w:numId w:val="1007"/>
        </w:numPr>
      </w:pPr>
      <w:r>
        <w:t xml:space="preserve">Are customers funding necessary interconnection and transmission upgrades adequately?</w:t>
      </w:r>
    </w:p>
    <w:p>
      <w:pPr>
        <w:pStyle w:val="Compact"/>
        <w:numPr>
          <w:ilvl w:val="0"/>
          <w:numId w:val="1007"/>
        </w:numPr>
      </w:pPr>
      <w:r>
        <w:t xml:space="preserve">Does the company see a need to expand its $73 billion capital-plan envelope, or is it reallocating within the existing plan?</w:t>
      </w:r>
    </w:p>
    <w:p>
      <w:pPr>
        <w:pStyle w:val="Compact"/>
        <w:numPr>
          <w:ilvl w:val="0"/>
          <w:numId w:val="1007"/>
        </w:numPr>
      </w:pPr>
      <w:r>
        <w:t xml:space="preserve">Are equipment availability, permitting, or interconnection timelines constraining conversion?</w:t>
      </w:r>
    </w:p>
    <w:p>
      <w:pPr>
        <w:pStyle w:val="FirstParagraph"/>
      </w:pPr>
      <w:r>
        <w:t xml:space="preserve">The upside is meaningful, especially if large load supports transmission investment and improves bills. But near-term earnings and valuation benefits require actual conversion from interest to contracted, financeable projects.</w:t>
      </w:r>
    </w:p>
    <w:p>
      <w:r>
        <w:pict>
          <v:rect style="width:0;height:1.5pt" o:hralign="center" o:hrstd="t" o:hr="t"/>
        </w:pict>
      </w:r>
    </w:p>
    <w:bookmarkEnd w:id="16"/>
    <w:bookmarkEnd w:id="17"/>
    <w:bookmarkStart w:id="18" w:name="Xb5319113a81d9dcd9030d039bc9d43b38aec8b9"/>
    <w:p>
      <w:pPr>
        <w:pStyle w:val="Heading2"/>
      </w:pPr>
      <w:r>
        <w:t xml:space="preserve">Balance sheet: a quietly constructive development</w:t>
      </w:r>
    </w:p>
    <w:p>
      <w:pPr>
        <w:pStyle w:val="FirstParagraph"/>
      </w:pPr>
      <w:r>
        <w:t xml:space="preserve">In June, PG&amp;E amended and extended key revolver facilities:</w:t>
      </w:r>
    </w:p>
    <w:p>
      <w:pPr>
        <w:pStyle w:val="Compact"/>
        <w:numPr>
          <w:ilvl w:val="0"/>
          <w:numId w:val="1008"/>
        </w:numPr>
      </w:pPr>
      <w:r>
        <w:t xml:space="preserve">The utility’s revolving credit facility was extended to</w:t>
      </w:r>
      <w:r>
        <w:t xml:space="preserve"> </w:t>
      </w:r>
      <w:r>
        <w:rPr>
          <w:b/>
          <w:bCs/>
        </w:rPr>
        <w:t xml:space="preserve">June 2031</w:t>
      </w:r>
      <w:r>
        <w:t xml:space="preserve"> </w:t>
      </w:r>
      <w:r>
        <w:t xml:space="preserve">and increased from</w:t>
      </w:r>
      <w:r>
        <w:t xml:space="preserve"> </w:t>
      </w:r>
      <w:r>
        <w:rPr>
          <w:b/>
          <w:bCs/>
        </w:rPr>
        <w:t xml:space="preserve">$5.4 billion to $6.25 billion</w:t>
      </w:r>
      <w:r>
        <w:t xml:space="preserve">.</w:t>
      </w:r>
    </w:p>
    <w:p>
      <w:pPr>
        <w:pStyle w:val="Compact"/>
        <w:numPr>
          <w:ilvl w:val="0"/>
          <w:numId w:val="1008"/>
        </w:numPr>
      </w:pPr>
      <w:r>
        <w:t xml:space="preserve">The parent revolver was extended to</w:t>
      </w:r>
      <w:r>
        <w:t xml:space="preserve"> </w:t>
      </w:r>
      <w:r>
        <w:rPr>
          <w:b/>
          <w:bCs/>
        </w:rPr>
        <w:t xml:space="preserve">June 2029</w:t>
      </w:r>
      <w:r>
        <w:t xml:space="preserve"> </w:t>
      </w:r>
      <w:r>
        <w:t xml:space="preserve">and includes collateral-release provisions if PG&amp;E secures senior unsecured investment-grade ratings from at least two agencies and meets other conditions.</w:t>
      </w:r>
    </w:p>
    <w:p>
      <w:pPr>
        <w:pStyle w:val="FirstParagraph"/>
      </w:pPr>
      <w:r>
        <w:t xml:space="preserve">This does not eliminate the wildfire-risk issue, but it supports the view that liquidity and access to capital remain robust. It also reinforces the strategic value of an investment-grade upgrade: lower financing costs could translate into customer savings and further support PCG’s affordability proposition.</w:t>
      </w:r>
    </w:p>
    <w:p>
      <w:r>
        <w:pict>
          <v:rect style="width:0;height:1.5pt" o:hralign="center" o:hrstd="t" o:hr="t"/>
        </w:pict>
      </w:r>
    </w:p>
    <w:bookmarkEnd w:id="18"/>
    <w:bookmarkStart w:id="19" w:name="earnings-watch-list"/>
    <w:p>
      <w:pPr>
        <w:pStyle w:val="Heading2"/>
      </w:pPr>
      <w:r>
        <w:t xml:space="preserve">Earnings watch list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Topic</w:t>
            </w:r>
          </w:p>
        </w:tc>
        <w:tc>
          <w:tcPr/>
          <w:p>
            <w:pPr>
              <w:pStyle w:val="Compact"/>
            </w:pPr>
            <w:r>
              <w:t xml:space="preserve">Constructive outcome</w:t>
            </w:r>
          </w:p>
        </w:tc>
        <w:tc>
          <w:tcPr/>
          <w:p>
            <w:pPr>
              <w:pStyle w:val="Compact"/>
            </w:pPr>
            <w:r>
              <w:t xml:space="preserve">Negative outcome</w:t>
            </w:r>
          </w:p>
        </w:tc>
      </w:tr>
      <w:tr>
        <w:tc>
          <w:tcPr/>
          <w:p>
            <w:pPr>
              <w:pStyle w:val="Compact"/>
            </w:pPr>
            <w:r>
              <w:rPr>
                <w:b/>
                <w:bCs/>
              </w:rPr>
              <w:t xml:space="preserve">2026 EPS guidance</w:t>
            </w:r>
          </w:p>
        </w:tc>
        <w:tc>
          <w:tcPr/>
          <w:p>
            <w:pPr>
              <w:pStyle w:val="Compact"/>
            </w:pPr>
            <w:r>
              <w:t xml:space="preserve">Reaffirmation of</w:t>
            </w:r>
            <w:r>
              <w:t xml:space="preserve"> </w:t>
            </w:r>
            <m:oMath>
              <m:r>
                <m:t>1.64</m:t>
              </m:r>
              <m:r>
                <m:rPr>
                  <m:sty m:val="p"/>
                </m:rPr>
                <m:t>–</m:t>
              </m:r>
            </m:oMath>
            <w:r>
              <w:t xml:space="preserve">1.66 with a clean bridge through the balance of the year</w:t>
            </w:r>
          </w:p>
        </w:tc>
        <w:tc>
          <w:tcPr/>
          <w:p>
            <w:pPr>
              <w:pStyle w:val="Compact"/>
            </w:pPr>
            <w:r>
              <w:t xml:space="preserve">Narrowing, qualification, or reliance on favorable timing items</w:t>
            </w:r>
          </w:p>
        </w:tc>
      </w:tr>
      <w:tr>
        <w:tc>
          <w:tcPr/>
          <w:p>
            <w:pPr>
              <w:pStyle w:val="Compact"/>
            </w:pPr>
            <w:r>
              <w:rPr>
                <w:b/>
                <w:bCs/>
              </w:rPr>
              <w:t xml:space="preserve">Wildfire reform</w:t>
            </w:r>
          </w:p>
        </w:tc>
        <w:tc>
          <w:tcPr/>
          <w:p>
            <w:pPr>
              <w:pStyle w:val="Compact"/>
            </w:pPr>
            <w:r>
              <w:t xml:space="preserve">Specific evidence of viable legislative progress and a credible path to measurable tail risk</w:t>
            </w:r>
          </w:p>
        </w:tc>
        <w:tc>
          <w:tcPr/>
          <w:p>
            <w:pPr>
              <w:pStyle w:val="Compact"/>
            </w:pPr>
            <w:r>
              <w:t xml:space="preserve">Delays, unclear policy framework, or indications shareholders may bear additional costs without sufficient offset</w:t>
            </w:r>
          </w:p>
        </w:tc>
      </w:tr>
      <w:tr>
        <w:tc>
          <w:tcPr/>
          <w:p>
            <w:pPr>
              <w:pStyle w:val="Compact"/>
            </w:pPr>
            <w:r>
              <w:rPr>
                <w:b/>
                <w:bCs/>
              </w:rPr>
              <w:t xml:space="preserve">Wildfire mitigation</w:t>
            </w:r>
          </w:p>
        </w:tc>
        <w:tc>
          <w:tcPr/>
          <w:p>
            <w:pPr>
              <w:pStyle w:val="Compact"/>
            </w:pPr>
            <w:r>
              <w:t xml:space="preserve">On-plan hardening, no material adverse safety developments, maintained O&amp;M discipline</w:t>
            </w:r>
          </w:p>
        </w:tc>
        <w:tc>
          <w:tcPr/>
          <w:p>
            <w:pPr>
              <w:pStyle w:val="Compact"/>
            </w:pPr>
            <w:r>
              <w:t xml:space="preserve">Cost overruns, elevated claims, significant ignitions, or increased PSPS/reliability concerns</w:t>
            </w:r>
          </w:p>
        </w:tc>
      </w:tr>
      <w:tr>
        <w:tc>
          <w:tcPr/>
          <w:p>
            <w:pPr>
              <w:pStyle w:val="Compact"/>
            </w:pPr>
            <w:r>
              <w:rPr>
                <w:b/>
                <w:bCs/>
              </w:rPr>
              <w:t xml:space="preserve">2027 rate case</w:t>
            </w:r>
          </w:p>
        </w:tc>
        <w:tc>
          <w:tcPr/>
          <w:p>
            <w:pPr>
              <w:pStyle w:val="Compact"/>
            </w:pPr>
            <w:r>
              <w:t xml:space="preserve">Constructive settlement or regulatory commentary; affordability plan remains credible</w:t>
            </w:r>
          </w:p>
        </w:tc>
        <w:tc>
          <w:tcPr/>
          <w:p>
            <w:pPr>
              <w:pStyle w:val="Compact"/>
            </w:pPr>
            <w:r>
              <w:t xml:space="preserve">More adversarial process, recovery concerns, or pressure on returns</w:t>
            </w:r>
          </w:p>
        </w:tc>
      </w:tr>
      <w:tr>
        <w:tc>
          <w:tcPr/>
          <w:p>
            <w:pPr>
              <w:pStyle w:val="Compact"/>
            </w:pPr>
            <w:r>
              <w:rPr>
                <w:b/>
                <w:bCs/>
              </w:rPr>
              <w:t xml:space="preserve">Large-load pipeline</w:t>
            </w:r>
          </w:p>
        </w:tc>
        <w:tc>
          <w:tcPr/>
          <w:p>
            <w:pPr>
              <w:pStyle w:val="Compact"/>
            </w:pPr>
            <w:r>
              <w:t xml:space="preserve">Tangible conversion of final-engineering projects into commitments and rate-reducing capital</w:t>
            </w:r>
          </w:p>
        </w:tc>
        <w:tc>
          <w:tcPr/>
          <w:p>
            <w:pPr>
              <w:pStyle w:val="Compact"/>
            </w:pPr>
            <w:r>
              <w:t xml:space="preserve">Project attrition, slow conversion, inadequate customer contributions, or capex/credit strain</w:t>
            </w:r>
          </w:p>
        </w:tc>
      </w:tr>
      <w:tr>
        <w:tc>
          <w:tcPr/>
          <w:p>
            <w:pPr>
              <w:pStyle w:val="Compact"/>
            </w:pPr>
            <w:r>
              <w:rPr>
                <w:b/>
                <w:bCs/>
              </w:rPr>
              <w:t xml:space="preserve">Credit and funding</w:t>
            </w:r>
          </w:p>
        </w:tc>
        <w:tc>
          <w:tcPr/>
          <w:p>
            <w:pPr>
              <w:pStyle w:val="Compact"/>
            </w:pPr>
            <w:r>
              <w:t xml:space="preserve">Continued investment-grade trajectory and no change to no-equity plan</w:t>
            </w:r>
          </w:p>
        </w:tc>
        <w:tc>
          <w:tcPr/>
          <w:p>
            <w:pPr>
              <w:pStyle w:val="Compact"/>
            </w:pPr>
            <w:r>
              <w:t xml:space="preserve">Any reopening of the equity-financing debate</w:t>
            </w:r>
          </w:p>
        </w:tc>
      </w:tr>
    </w:tbl>
    <w:p>
      <w:r>
        <w:pict>
          <v:rect style="width:0;height:1.5pt" o:hralign="center" o:hrstd="t" o:hr="t"/>
        </w:pict>
      </w:r>
    </w:p>
    <w:bookmarkEnd w:id="19"/>
    <w:bookmarkStart w:id="20" w:name="bottom-line"/>
    <w:p>
      <w:pPr>
        <w:pStyle w:val="Heading2"/>
      </w:pPr>
      <w:r>
        <w:t xml:space="preserve">Bottom line</w:t>
      </w:r>
    </w:p>
    <w:p>
      <w:pPr>
        <w:pStyle w:val="FirstParagraph"/>
      </w:pPr>
      <w:r>
        <w:t xml:space="preserve">PCG’s 2Q26 report should be viewed as a</w:t>
      </w:r>
      <w:r>
        <w:t xml:space="preserve"> </w:t>
      </w:r>
      <w:r>
        <w:rPr>
          <w:b/>
          <w:bCs/>
        </w:rPr>
        <w:t xml:space="preserve">credibility check on a multi-year derisking thesis</w:t>
      </w:r>
      <w:r>
        <w:t xml:space="preserve">. The company has already put up a strong first quarter, maintained its 2026 outlook, and demonstrated continued access to liquidity. The remaining question is whether the regulatory, legislative, and safety backdrop will support the capital plan and no-equity framework that underpin its longer-term earnings-growth outlook.</w:t>
      </w:r>
    </w:p>
    <w:p>
      <w:pPr>
        <w:pStyle w:val="BodyText"/>
      </w:pPr>
      <w:r>
        <w:t xml:space="preserve">A simple guidance reaffirmation should be expected. The potential upside catalyst is a more concrete message that California is moving toward meaningful wildfire-liability reform, alongside evidence that data-center opportunities are becoming executable, customer-beneficial investments. The principal downside is not likely to be a small quarterly EPS miss—it is a deterioration in confidence that wildfire tail risk can be contained without impairing capital allocation or customer affordability.</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2026-07-23T00:52:48Z</dcterms:created>
  <dcterms:modified xsi:type="dcterms:W3CDTF">2026-07-23T00:52:48Z</dcterms:modified>
</cp:coreProperties>
</file>

<file path=docProps/custom.xml><?xml version="1.0" encoding="utf-8"?>
<Properties xmlns="http://schemas.openxmlformats.org/officeDocument/2006/custom-properties" xmlns:vt="http://schemas.openxmlformats.org/officeDocument/2006/docPropsVTypes"/>
</file>