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PG&amp;E Corporation (PCG)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PG&amp;E Corporation (PCG)</w:t>
            </w:r>
          </w:p>
        </w:tc>
      </w:tr>
      <w:tr>
        <w:tc>
          <w:tcPr>
            <w:tcW w:type="dxa" w:w="4320"/>
          </w:tcPr>
          <w:p>
            <w:r>
              <w:rPr>
                <w:rFonts w:ascii="Calibri" w:hAnsi="Calibri"/>
                <w:b/>
                <w:sz w:val="22"/>
              </w:rPr>
              <w:t>Upcoming Earnings</w:t>
            </w:r>
          </w:p>
        </w:tc>
        <w:tc>
          <w:tcPr>
            <w:tcW w:type="dxa" w:w="4320"/>
          </w:tcPr>
          <w:p>
            <w:r>
              <w:rPr>
                <w:rFonts w:ascii="Calibri" w:hAnsi="Calibri"/>
                <w:sz w:val="22"/>
              </w:rPr>
              <w:t>Q2 2026 — July 23, 2026, Before Market Open</w:t>
            </w:r>
          </w:p>
        </w:tc>
      </w:tr>
      <w:tr>
        <w:tc>
          <w:tcPr>
            <w:tcW w:type="dxa" w:w="4320"/>
          </w:tcPr>
          <w:p>
            <w:r>
              <w:rPr>
                <w:rFonts w:ascii="Calibri" w:hAnsi="Calibri"/>
                <w:b/>
                <w:sz w:val="22"/>
              </w:rPr>
              <w:t>Last Reported</w:t>
            </w:r>
          </w:p>
        </w:tc>
        <w:tc>
          <w:tcPr>
            <w:tcW w:type="dxa" w:w="4320"/>
          </w:tcPr>
          <w:p>
            <w:r>
              <w:rPr>
                <w:rFonts w:ascii="Calibri" w:hAnsi="Calibri"/>
                <w:sz w:val="22"/>
              </w:rPr>
              <w:t>Q1 2026 — April 23, 2026</w:t>
            </w:r>
          </w:p>
        </w:tc>
      </w:tr>
      <w:tr>
        <w:tc>
          <w:tcPr>
            <w:tcW w:type="dxa" w:w="4320"/>
          </w:tcPr>
          <w:p>
            <w:r>
              <w:rPr>
                <w:rFonts w:ascii="Calibri" w:hAnsi="Calibri"/>
                <w:b/>
                <w:sz w:val="22"/>
              </w:rPr>
              <w:t>Prepared</w:t>
            </w:r>
          </w:p>
        </w:tc>
        <w:tc>
          <w:tcPr>
            <w:tcW w:type="dxa" w:w="4320"/>
          </w:tcPr>
          <w:p>
            <w:r>
              <w:rPr>
                <w:rFonts w:ascii="Calibri" w:hAnsi="Calibri"/>
                <w:sz w:val="22"/>
              </w:rPr>
              <w:t>July 22, 2026</w:t>
            </w:r>
          </w:p>
        </w:tc>
      </w:tr>
      <w:tr>
        <w:tc>
          <w:tcPr>
            <w:tcW w:type="dxa" w:w="4320"/>
          </w:tcPr>
          <w:p>
            <w:r>
              <w:rPr>
                <w:rFonts w:ascii="Calibri" w:hAnsi="Calibri"/>
                <w:b/>
                <w:sz w:val="22"/>
              </w:rPr>
              <w:t>Sector ETF Benchmark</w:t>
            </w:r>
          </w:p>
        </w:tc>
        <w:tc>
          <w:tcPr>
            <w:tcW w:type="dxa" w:w="4320"/>
          </w:tcPr>
          <w:p>
            <w:r>
              <w:rPr>
                <w:rFonts w:ascii="Calibri" w:hAnsi="Calibri"/>
                <w:sz w:val="22"/>
              </w:rPr>
              <w:t>XLU (Utilities Select Sector SPDR)</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into Q2 2026 is modestly constructive — consensus EPS of $0.37 represents a 19% YoY increase and sits just below the full-year run-rate implied by guidance, leaving room for a beat if O&amp;M savings continue to outperform; the single biggest swing factor is the passage of SB 254 Phase 2 wildfire liability reform, which was signed into law in early July and removes the most significant overhang on the stock.</w:t>
      </w:r>
    </w:p>
    <w:p>
      <w:r>
        <w:rPr>
          <w:rFonts w:ascii="Calibri" w:hAnsi="Calibri"/>
          <w:color w:val="525866"/>
          <w:sz w:val="22"/>
        </w:rPr>
        <w:t xml:space="preserve">PG&amp;E heads into Q2 2026 earnings with a clean setup: the bar is achievable (consensus core EPS of $0.37 vs. $0.31 a year ago), full-year guidance of $1.64–$1.66 was reaffirmed at Q1 with management expressing confidence in a fifth consecutive year of double-digit core earnings growth, and the company's O&amp;M savings program has consistently outperformed its 2%–4% annual reduction target for three straight years. </w:t>
      </w:r>
      <w:r>
        <w:rPr>
          <w:rFonts w:ascii="Calibri" w:hAnsi="Calibri"/>
          <w:b/>
          <w:color w:val="525866"/>
          <w:sz w:val="22"/>
        </w:rPr>
        <w:t>The most significant development since the Q1 print is the passage of SB 254 Phase 2 wildfire liability reform</w:t>
      </w:r>
      <w:r>
        <w:rPr>
          <w:rFonts w:ascii="Calibri" w:hAnsi="Calibri"/>
          <w:color w:val="525866"/>
          <w:sz w:val="22"/>
        </w:rPr>
        <w:t xml:space="preserve"> — signed by Governor Newsom in early July — which adds $18 billion to the state Wildfire Fund, removes $6 billion of wildfire mitigation capex from the equity rate base through 2035, and establishes a framework for cost recovery when the fund is exhausted; this materially reduces the tail risk that has kept PCG trading at a ~50% P/E discount to utility peers. Estimate revisions have been stable-to-slightly-positive since the Q1 print, with Q2 consensus ticking down marginally from $0.373 to $0.363 while the full-year consensus of $1.628 remains essentially in line with guidance midpoint ($1.65), suggesting the street is not pricing in meaningful upside from O&amp;M outperformance or data center load acceleration. </w:t>
      </w:r>
      <w:r>
        <w:rPr>
          <w:rFonts w:ascii="Calibri" w:hAnsi="Calibri"/>
          <w:b/>
          <w:color w:val="525866"/>
          <w:sz w:val="22"/>
        </w:rPr>
        <w:t>The stock has rallied ~7.6% since the Q1 earnings date vs. XLU down 0.3% and S&amp;P 500 up 5.5%</w:t>
      </w:r>
      <w:r>
        <w:rPr>
          <w:rFonts w:ascii="Calibri" w:hAnsi="Calibri"/>
          <w:color w:val="525866"/>
          <w:sz w:val="22"/>
        </w:rPr>
        <w:t>, driven by the SB 254 passage catalyst and improving credit trajectory (S&amp;P upgraded PCG to BB+ on April 23), yet still trades at a material discount to intrinsic value with analyst price targets of $22–$28 implying 25–55% upside. The wildcard for the print is whether management provides any updated commentary on the SB 254 Phase 2 mechanics — specifically the $6 billion capex exclusion from rate base and the $300 million annual IOU contribution to the Wildfire Fund — and how that affects the long-term capital plan and EPS trajectory beyond 2026.</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is a moderate bar — Q2 core EPS of $0.37 is achievable given the Q1 beat and continued O&amp;M momentum, but revenue consensus of $6.38B is the bigger swing factor given Q1 revenue came in well above expectations at $6.88B. The beat/miss history on EPS is mixed (2 beats, 2 misses in last 4 quarters), keeping the market appropriately cautious.</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Last Quarter Actual (Q1 2026)</w:t>
            </w:r>
          </w:p>
        </w:tc>
        <w:tc>
          <w:tcPr>
            <w:tcW w:type="dxa" w:w="1234"/>
            <w:shd w:val="clear" w:color="auto" w:fill="3B4259"/>
          </w:tcPr>
          <w:p>
            <w:r>
              <w:rPr>
                <w:rFonts w:ascii="Calibri" w:hAnsi="Calibri"/>
                <w:b/>
                <w:color w:val="FFFFFF"/>
                <w:sz w:val="22"/>
              </w:rPr>
              <w:t>Prior Year Period (Q2 2025 Actual)</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 2026 Guidance</w:t>
            </w:r>
          </w:p>
        </w:tc>
        <w:tc>
          <w:tcPr>
            <w:tcW w:type="dxa" w:w="1234"/>
            <w:shd w:val="clear" w:color="auto" w:fill="3B4259"/>
          </w:tcPr>
          <w:p>
            <w:r>
              <w:rPr>
                <w:rFonts w:ascii="Calibri" w:hAnsi="Calibri"/>
                <w:b/>
                <w:color w:val="FFFFFF"/>
                <w:sz w:val="22"/>
              </w:rPr>
              <w:t>Consensus vs. Guidance (% delta)</w:t>
            </w:r>
          </w:p>
        </w:tc>
      </w:tr>
      <w:tr>
        <w:tc>
          <w:tcPr>
            <w:tcW w:type="dxa" w:w="1234"/>
          </w:tcPr>
          <w:p>
            <w:r>
              <w:rPr>
                <w:rFonts w:ascii="Calibri" w:hAnsi="Calibri"/>
                <w:sz w:val="22"/>
              </w:rPr>
              <w:t>Core EPS (Diluted Operating)</w:t>
            </w:r>
          </w:p>
        </w:tc>
        <w:tc>
          <w:tcPr>
            <w:tcW w:type="dxa" w:w="1234"/>
          </w:tcPr>
          <w:p>
            <w:r>
              <w:rPr>
                <w:rFonts w:ascii="Calibri" w:hAnsi="Calibri"/>
                <w:sz w:val="22"/>
              </w:rPr>
              <w:t>$0.43</w:t>
            </w:r>
          </w:p>
        </w:tc>
        <w:tc>
          <w:tcPr>
            <w:tcW w:type="dxa" w:w="1234"/>
          </w:tcPr>
          <w:p>
            <w:r>
              <w:rPr>
                <w:rFonts w:ascii="Calibri" w:hAnsi="Calibri"/>
                <w:sz w:val="22"/>
              </w:rPr>
              <w:t>$0.31</w:t>
            </w:r>
          </w:p>
        </w:tc>
        <w:tc>
          <w:tcPr>
            <w:tcW w:type="dxa" w:w="1234"/>
          </w:tcPr>
          <w:p>
            <w:r>
              <w:rPr>
                <w:rFonts w:ascii="Calibri" w:hAnsi="Calibri"/>
                <w:sz w:val="22"/>
              </w:rPr>
              <w:t>$0.363</w:t>
            </w:r>
          </w:p>
        </w:tc>
        <w:tc>
          <w:tcPr>
            <w:tcW w:type="dxa" w:w="1234"/>
          </w:tcPr>
          <w:p>
            <w:r>
              <w:rPr>
                <w:rFonts w:ascii="Calibri" w:hAnsi="Calibri"/>
                <w:sz w:val="22"/>
              </w:rPr>
              <w:t>+17.1% YoY</w:t>
            </w:r>
          </w:p>
        </w:tc>
        <w:tc>
          <w:tcPr>
            <w:tcW w:type="dxa" w:w="1234"/>
          </w:tcPr>
          <w:p>
            <w:r>
              <w:rPr>
                <w:rFonts w:ascii="Calibri" w:hAnsi="Calibri"/>
                <w:sz w:val="22"/>
              </w:rPr>
              <w:t>$1.64–$1.66 (FY)</w:t>
            </w:r>
          </w:p>
        </w:tc>
        <w:tc>
          <w:tcPr>
            <w:tcW w:type="dxa" w:w="1234"/>
          </w:tcPr>
          <w:p>
            <w:r>
              <w:rPr>
                <w:rFonts w:ascii="Calibri" w:hAnsi="Calibri"/>
                <w:sz w:val="22"/>
              </w:rPr>
              <w:t>FY consensus $1.628 vs. midpoint $1.65: −1.3%</w:t>
            </w:r>
          </w:p>
        </w:tc>
      </w:tr>
      <w:tr>
        <w:tc>
          <w:tcPr>
            <w:tcW w:type="dxa" w:w="1234"/>
          </w:tcPr>
          <w:p>
            <w:r>
              <w:rPr>
                <w:rFonts w:ascii="Calibri" w:hAnsi="Calibri"/>
                <w:sz w:val="22"/>
              </w:rPr>
              <w:t>Total Revenue</w:t>
            </w:r>
          </w:p>
        </w:tc>
        <w:tc>
          <w:tcPr>
            <w:tcW w:type="dxa" w:w="1234"/>
          </w:tcPr>
          <w:p>
            <w:r>
              <w:rPr>
                <w:rFonts w:ascii="Calibri" w:hAnsi="Calibri"/>
                <w:sz w:val="22"/>
              </w:rPr>
              <w:t>$6.881B</w:t>
            </w:r>
          </w:p>
        </w:tc>
        <w:tc>
          <w:tcPr>
            <w:tcW w:type="dxa" w:w="1234"/>
          </w:tcPr>
          <w:p>
            <w:r>
              <w:rPr>
                <w:rFonts w:ascii="Calibri" w:hAnsi="Calibri"/>
                <w:sz w:val="22"/>
              </w:rPr>
              <w:t>$5.898B</w:t>
            </w:r>
          </w:p>
        </w:tc>
        <w:tc>
          <w:tcPr>
            <w:tcW w:type="dxa" w:w="1234"/>
          </w:tcPr>
          <w:p>
            <w:r>
              <w:rPr>
                <w:rFonts w:ascii="Calibri" w:hAnsi="Calibri"/>
                <w:sz w:val="22"/>
              </w:rPr>
              <w:t>$6.381B</w:t>
            </w:r>
          </w:p>
        </w:tc>
        <w:tc>
          <w:tcPr>
            <w:tcW w:type="dxa" w:w="1234"/>
          </w:tcPr>
          <w:p>
            <w:r>
              <w:rPr>
                <w:rFonts w:ascii="Calibri" w:hAnsi="Calibri"/>
                <w:sz w:val="22"/>
              </w:rPr>
              <w:t>+8.2% YoY</w:t>
            </w:r>
          </w:p>
        </w:tc>
        <w:tc>
          <w:tcPr>
            <w:tcW w:type="dxa" w:w="1234"/>
          </w:tcPr>
          <w:p>
            <w:r>
              <w:rPr>
                <w:rFonts w:ascii="Calibri" w:hAnsi="Calibri"/>
                <w:sz w:val="22"/>
              </w:rPr>
              <w:t>FY 2026: ~$26.4B (consensus)</w:t>
            </w:r>
          </w:p>
        </w:tc>
        <w:tc>
          <w:tcPr>
            <w:tcW w:type="dxa" w:w="1234"/>
          </w:tcPr>
          <w:p>
            <w:r>
              <w:rPr>
                <w:rFonts w:ascii="Calibri" w:hAnsi="Calibri"/>
                <w:sz w:val="22"/>
              </w:rPr>
              <w:t>N/A — no quarterly revenue guidance provided</w:t>
            </w:r>
          </w:p>
        </w:tc>
      </w:tr>
      <w:tr>
        <w:tc>
          <w:tcPr>
            <w:tcW w:type="dxa" w:w="1234"/>
          </w:tcPr>
          <w:p>
            <w:r>
              <w:rPr>
                <w:rFonts w:ascii="Calibri" w:hAnsi="Calibri"/>
                <w:sz w:val="22"/>
              </w:rPr>
              <w:t>Capital Expenditures</w:t>
            </w:r>
          </w:p>
        </w:tc>
        <w:tc>
          <w:tcPr>
            <w:tcW w:type="dxa" w:w="1234"/>
          </w:tcPr>
          <w:p>
            <w:r>
              <w:rPr>
                <w:rFonts w:ascii="Calibri" w:hAnsi="Calibri"/>
                <w:sz w:val="22"/>
              </w:rPr>
              <w:t>$3.356B</w:t>
            </w:r>
          </w:p>
        </w:tc>
        <w:tc>
          <w:tcPr>
            <w:tcW w:type="dxa" w:w="1234"/>
          </w:tcPr>
          <w:p>
            <w:r>
              <w:rPr>
                <w:rFonts w:ascii="Calibri" w:hAnsi="Calibri"/>
                <w:sz w:val="22"/>
              </w:rPr>
              <w:t>$3.065B</w:t>
            </w:r>
          </w:p>
        </w:tc>
        <w:tc>
          <w:tcPr>
            <w:tcW w:type="dxa" w:w="1234"/>
          </w:tcPr>
          <w:p>
            <w:r>
              <w:rPr>
                <w:rFonts w:ascii="Calibri" w:hAnsi="Calibri"/>
                <w:sz w:val="22"/>
              </w:rPr>
              <w:t>$2.926B</w:t>
            </w:r>
          </w:p>
        </w:tc>
        <w:tc>
          <w:tcPr>
            <w:tcW w:type="dxa" w:w="1234"/>
          </w:tcPr>
          <w:p>
            <w:r>
              <w:rPr>
                <w:rFonts w:ascii="Calibri" w:hAnsi="Calibri"/>
                <w:sz w:val="22"/>
              </w:rPr>
              <w:t>−4.5% YoY</w:t>
            </w:r>
          </w:p>
        </w:tc>
        <w:tc>
          <w:tcPr>
            <w:tcW w:type="dxa" w:w="1234"/>
          </w:tcPr>
          <w:p>
            <w:r>
              <w:rPr>
                <w:rFonts w:ascii="Calibri" w:hAnsi="Calibri"/>
                <w:sz w:val="22"/>
              </w:rPr>
              <w:t>$73B 5-year plan (unchanged)</w:t>
            </w:r>
          </w:p>
        </w:tc>
        <w:tc>
          <w:tcPr>
            <w:tcW w:type="dxa" w:w="1234"/>
          </w:tcPr>
          <w:p>
            <w:r>
              <w:rPr>
                <w:rFonts w:ascii="Calibri" w:hAnsi="Calibri"/>
                <w:sz w:val="22"/>
              </w:rPr>
              <w:t>FY consensus $12.43B vs. plan: on track</w:t>
            </w:r>
          </w:p>
        </w:tc>
      </w:tr>
      <w:tr>
        <w:tc>
          <w:tcPr>
            <w:tcW w:type="dxa" w:w="1234"/>
          </w:tcPr>
          <w:p>
            <w:r>
              <w:rPr>
                <w:rFonts w:ascii="Calibri" w:hAnsi="Calibri"/>
                <w:sz w:val="22"/>
              </w:rPr>
              <w:t>O&amp;M (Operating, Non-Fuel)</w:t>
            </w:r>
          </w:p>
        </w:tc>
        <w:tc>
          <w:tcPr>
            <w:tcW w:type="dxa" w:w="1234"/>
          </w:tcPr>
          <w:p>
            <w:r>
              <w:rPr>
                <w:rFonts w:ascii="Calibri" w:hAnsi="Calibri"/>
                <w:sz w:val="22"/>
              </w:rPr>
              <w:t>N/A — Q1 2026 actual not in VA</w:t>
            </w:r>
          </w:p>
        </w:tc>
        <w:tc>
          <w:tcPr>
            <w:tcW w:type="dxa" w:w="1234"/>
          </w:tcPr>
          <w:p>
            <w:r>
              <w:rPr>
                <w:rFonts w:ascii="Calibri" w:hAnsi="Calibri"/>
                <w:sz w:val="22"/>
              </w:rPr>
              <w:t>$2.824B</w:t>
            </w:r>
          </w:p>
        </w:tc>
        <w:tc>
          <w:tcPr>
            <w:tcW w:type="dxa" w:w="1234"/>
          </w:tcPr>
          <w:p>
            <w:r>
              <w:rPr>
                <w:rFonts w:ascii="Calibri" w:hAnsi="Calibri"/>
                <w:sz w:val="22"/>
              </w:rPr>
              <w:t>$2.739B</w:t>
            </w:r>
          </w:p>
        </w:tc>
        <w:tc>
          <w:tcPr>
            <w:tcW w:type="dxa" w:w="1234"/>
          </w:tcPr>
          <w:p>
            <w:r>
              <w:rPr>
                <w:rFonts w:ascii="Calibri" w:hAnsi="Calibri"/>
                <w:sz w:val="22"/>
              </w:rPr>
              <w:t>−3.0% YoY (est.)</w:t>
            </w:r>
          </w:p>
        </w:tc>
        <w:tc>
          <w:tcPr>
            <w:tcW w:type="dxa" w:w="1234"/>
          </w:tcPr>
          <w:p>
            <w:r>
              <w:rPr>
                <w:rFonts w:ascii="Calibri" w:hAnsi="Calibri"/>
                <w:sz w:val="22"/>
              </w:rPr>
              <w:t>2%–4% annual reduction target</w:t>
            </w:r>
          </w:p>
        </w:tc>
        <w:tc>
          <w:tcPr>
            <w:tcW w:type="dxa" w:w="1234"/>
          </w:tcPr>
          <w:p>
            <w:r>
              <w:rPr>
                <w:rFonts w:ascii="Calibri" w:hAnsi="Calibri"/>
                <w:sz w:val="22"/>
              </w:rPr>
              <w:t>FY consensus $11.21B; tracking below prior year</w:t>
            </w:r>
          </w:p>
        </w:tc>
      </w:tr>
    </w:tbl>
    <w:p>
      <w:r>
        <w:rPr>
          <w:rFonts w:ascii="Calibri" w:hAnsi="Calibri"/>
          <w:i/>
          <w:color w:val="525866"/>
          <w:sz w:val="22"/>
        </w:rPr>
        <w:t>Source: Visible Alpha Consensus and Actuals Data. All consensus figures as of July 22, 2026. Core EPS = EPS – Diluted – Operating($). Revenue = Total Revenue. CapEx = Capital Expenditures. O&amp;M = Operating and Maintenance – Operating.</w:t>
      </w:r>
    </w:p>
    <w:p>
      <w:pPr>
        <w:pStyle w:val="Heading3"/>
      </w:pPr>
      <w:r>
        <w:rPr>
          <w:rFonts w:ascii="Calibri" w:hAnsi="Calibri"/>
          <w:b/>
          <w:color w:val="3B4259"/>
          <w:sz w:val="24"/>
        </w:rPr>
        <w:t>Table 2 — Beat/Miss History (Last 8 Quarters, Core EPS &amp; Revenue)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Core EPS</w:t>
            </w:r>
          </w:p>
        </w:tc>
        <w:tc>
          <w:tcPr>
            <w:tcW w:type="dxa" w:w="1440"/>
          </w:tcPr>
          <w:p>
            <w:r>
              <w:rPr>
                <w:rFonts w:ascii="Calibri" w:hAnsi="Calibri"/>
                <w:sz w:val="22"/>
              </w:rPr>
              <w:t>$0.43</w:t>
            </w:r>
          </w:p>
        </w:tc>
        <w:tc>
          <w:tcPr>
            <w:tcW w:type="dxa" w:w="1440"/>
          </w:tcPr>
          <w:p>
            <w:r>
              <w:rPr>
                <w:rFonts w:ascii="Calibri" w:hAnsi="Calibri"/>
                <w:sz w:val="22"/>
              </w:rPr>
              <w:t>$0.396</w:t>
            </w:r>
          </w:p>
        </w:tc>
        <w:tc>
          <w:tcPr>
            <w:tcW w:type="dxa" w:w="1440"/>
          </w:tcPr>
          <w:p>
            <w:r>
              <w:rPr>
                <w:rFonts w:ascii="Calibri" w:hAnsi="Calibri"/>
                <w:b/>
                <w:color w:val="30A46C"/>
                <w:sz w:val="22"/>
              </w:rPr>
              <w:t>+8.6%</w:t>
            </w:r>
          </w:p>
        </w:tc>
        <w:tc>
          <w:tcPr>
            <w:tcW w:type="dxa" w:w="1440"/>
          </w:tcPr>
          <w:p>
            <w:r>
              <w:rPr>
                <w:rFonts w:ascii="Calibri" w:hAnsi="Calibri"/>
                <w:b/>
                <w:color w:val="30A46C"/>
                <w:sz w:val="22"/>
              </w:rPr>
              <w:t>Beat</w:t>
            </w:r>
          </w:p>
        </w:tc>
      </w:tr>
      <w:tr>
        <w:tc>
          <w:tcPr>
            <w:tcW w:type="dxa" w:w="1440"/>
          </w:tcPr>
          <w:p>
            <w:r>
              <w:rPr>
                <w:rFonts w:ascii="Calibri" w:hAnsi="Calibri"/>
                <w:sz w:val="22"/>
              </w:rPr>
              <w:t>Q1 2026</w:t>
            </w:r>
          </w:p>
        </w:tc>
        <w:tc>
          <w:tcPr>
            <w:tcW w:type="dxa" w:w="1440"/>
          </w:tcPr>
          <w:p>
            <w:r>
              <w:rPr>
                <w:rFonts w:ascii="Calibri" w:hAnsi="Calibri"/>
                <w:sz w:val="22"/>
              </w:rPr>
              <w:t>Revenue</w:t>
            </w:r>
          </w:p>
        </w:tc>
        <w:tc>
          <w:tcPr>
            <w:tcW w:type="dxa" w:w="1440"/>
          </w:tcPr>
          <w:p>
            <w:r>
              <w:rPr>
                <w:rFonts w:ascii="Calibri" w:hAnsi="Calibri"/>
                <w:sz w:val="22"/>
              </w:rPr>
              <w:t>$6.881B</w:t>
            </w:r>
          </w:p>
        </w:tc>
        <w:tc>
          <w:tcPr>
            <w:tcW w:type="dxa" w:w="1440"/>
          </w:tcPr>
          <w:p>
            <w:r>
              <w:rPr>
                <w:rFonts w:ascii="Calibri" w:hAnsi="Calibri"/>
                <w:sz w:val="22"/>
              </w:rPr>
              <w:t>$6.543B</w:t>
            </w:r>
          </w:p>
        </w:tc>
        <w:tc>
          <w:tcPr>
            <w:tcW w:type="dxa" w:w="1440"/>
          </w:tcPr>
          <w:p>
            <w:r>
              <w:rPr>
                <w:rFonts w:ascii="Calibri" w:hAnsi="Calibri"/>
                <w:b/>
                <w:color w:val="30A46C"/>
                <w:sz w:val="22"/>
              </w:rPr>
              <w:t>+5.2%</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Core EPS</w:t>
            </w:r>
          </w:p>
        </w:tc>
        <w:tc>
          <w:tcPr>
            <w:tcW w:type="dxa" w:w="1440"/>
          </w:tcPr>
          <w:p>
            <w:r>
              <w:rPr>
                <w:rFonts w:ascii="Calibri" w:hAnsi="Calibri"/>
                <w:sz w:val="22"/>
              </w:rPr>
              <w:t>$0.345</w:t>
            </w:r>
          </w:p>
        </w:tc>
        <w:tc>
          <w:tcPr>
            <w:tcW w:type="dxa" w:w="1440"/>
          </w:tcPr>
          <w:p>
            <w:r>
              <w:rPr>
                <w:rFonts w:ascii="Calibri" w:hAnsi="Calibri"/>
                <w:sz w:val="22"/>
              </w:rPr>
              <w:t>$0.375</w:t>
            </w:r>
          </w:p>
        </w:tc>
        <w:tc>
          <w:tcPr>
            <w:tcW w:type="dxa" w:w="1440"/>
          </w:tcPr>
          <w:p>
            <w:r>
              <w:rPr>
                <w:rFonts w:ascii="Calibri" w:hAnsi="Calibri"/>
                <w:b/>
                <w:color w:val="E5484D"/>
                <w:sz w:val="22"/>
              </w:rPr>
              <w:t>−8.0%</w:t>
            </w:r>
          </w:p>
        </w:tc>
        <w:tc>
          <w:tcPr>
            <w:tcW w:type="dxa" w:w="1440"/>
          </w:tcPr>
          <w:p>
            <w:r>
              <w:rPr>
                <w:rFonts w:ascii="Calibri" w:hAnsi="Calibri"/>
                <w:b/>
                <w:color w:val="E5484D"/>
                <w:sz w:val="22"/>
              </w:rPr>
              <w:t>Miss</w:t>
            </w:r>
          </w:p>
        </w:tc>
      </w:tr>
      <w:tr>
        <w:tc>
          <w:tcPr>
            <w:tcW w:type="dxa" w:w="1440"/>
          </w:tcPr>
          <w:p>
            <w:r>
              <w:rPr>
                <w:rFonts w:ascii="Calibri" w:hAnsi="Calibri"/>
                <w:sz w:val="22"/>
              </w:rPr>
              <w:t>Q4 2025</w:t>
            </w:r>
          </w:p>
        </w:tc>
        <w:tc>
          <w:tcPr>
            <w:tcW w:type="dxa" w:w="1440"/>
          </w:tcPr>
          <w:p>
            <w:r>
              <w:rPr>
                <w:rFonts w:ascii="Calibri" w:hAnsi="Calibri"/>
                <w:sz w:val="22"/>
              </w:rPr>
              <w:t>Revenue</w:t>
            </w:r>
          </w:p>
        </w:tc>
        <w:tc>
          <w:tcPr>
            <w:tcW w:type="dxa" w:w="1440"/>
          </w:tcPr>
          <w:p>
            <w:r>
              <w:rPr>
                <w:rFonts w:ascii="Calibri" w:hAnsi="Calibri"/>
                <w:sz w:val="22"/>
              </w:rPr>
              <w:t>$6.804B</w:t>
            </w:r>
          </w:p>
        </w:tc>
        <w:tc>
          <w:tcPr>
            <w:tcW w:type="dxa" w:w="1440"/>
          </w:tcPr>
          <w:p>
            <w:r>
              <w:rPr>
                <w:rFonts w:ascii="Calibri" w:hAnsi="Calibri"/>
                <w:sz w:val="22"/>
              </w:rPr>
              <w:t>$7.453B</w:t>
            </w:r>
          </w:p>
        </w:tc>
        <w:tc>
          <w:tcPr>
            <w:tcW w:type="dxa" w:w="1440"/>
          </w:tcPr>
          <w:p>
            <w:r>
              <w:rPr>
                <w:rFonts w:ascii="Calibri" w:hAnsi="Calibri"/>
                <w:b/>
                <w:color w:val="E5484D"/>
                <w:sz w:val="22"/>
              </w:rPr>
              <w:t>∓8.7%</w:t>
            </w:r>
          </w:p>
        </w:tc>
        <w:tc>
          <w:tcPr>
            <w:tcW w:type="dxa" w:w="1440"/>
          </w:tcPr>
          <w:p>
            <w:r>
              <w:rPr>
                <w:rFonts w:ascii="Calibri" w:hAnsi="Calibri"/>
                <w:b/>
                <w:color w:val="E5484D"/>
                <w:sz w:val="22"/>
              </w:rPr>
              <w:t>Miss</w:t>
            </w:r>
          </w:p>
        </w:tc>
      </w:tr>
      <w:tr>
        <w:tc>
          <w:tcPr>
            <w:tcW w:type="dxa" w:w="1440"/>
          </w:tcPr>
          <w:p>
            <w:r>
              <w:rPr>
                <w:rFonts w:ascii="Calibri" w:hAnsi="Calibri"/>
                <w:sz w:val="22"/>
              </w:rPr>
              <w:t>Q3 2025</w:t>
            </w:r>
          </w:p>
        </w:tc>
        <w:tc>
          <w:tcPr>
            <w:tcW w:type="dxa" w:w="1440"/>
          </w:tcPr>
          <w:p>
            <w:r>
              <w:rPr>
                <w:rFonts w:ascii="Calibri" w:hAnsi="Calibri"/>
                <w:sz w:val="22"/>
              </w:rPr>
              <w:t>Core EPS</w:t>
            </w:r>
          </w:p>
        </w:tc>
        <w:tc>
          <w:tcPr>
            <w:tcW w:type="dxa" w:w="1440"/>
          </w:tcPr>
          <w:p>
            <w:r>
              <w:rPr>
                <w:rFonts w:ascii="Calibri" w:hAnsi="Calibri"/>
                <w:sz w:val="22"/>
              </w:rPr>
              <w:t>$0.501</w:t>
            </w:r>
          </w:p>
        </w:tc>
        <w:tc>
          <w:tcPr>
            <w:tcW w:type="dxa" w:w="1440"/>
          </w:tcPr>
          <w:p>
            <w:r>
              <w:rPr>
                <w:rFonts w:ascii="Calibri" w:hAnsi="Calibri"/>
                <w:sz w:val="22"/>
              </w:rPr>
              <w:t>$0.434</w:t>
            </w:r>
          </w:p>
        </w:tc>
        <w:tc>
          <w:tcPr>
            <w:tcW w:type="dxa" w:w="1440"/>
          </w:tcPr>
          <w:p>
            <w:r>
              <w:rPr>
                <w:rFonts w:ascii="Calibri" w:hAnsi="Calibri"/>
                <w:b/>
                <w:color w:val="30A46C"/>
                <w:sz w:val="22"/>
              </w:rPr>
              <w:t>+15.4%</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Revenue</w:t>
            </w:r>
          </w:p>
        </w:tc>
        <w:tc>
          <w:tcPr>
            <w:tcW w:type="dxa" w:w="1440"/>
          </w:tcPr>
          <w:p>
            <w:r>
              <w:rPr>
                <w:rFonts w:ascii="Calibri" w:hAnsi="Calibri"/>
                <w:sz w:val="22"/>
              </w:rPr>
              <w:t>$6.250B</w:t>
            </w:r>
          </w:p>
        </w:tc>
        <w:tc>
          <w:tcPr>
            <w:tcW w:type="dxa" w:w="1440"/>
          </w:tcPr>
          <w:p>
            <w:r>
              <w:rPr>
                <w:rFonts w:ascii="Calibri" w:hAnsi="Calibri"/>
                <w:sz w:val="22"/>
              </w:rPr>
              <w:t>$6.424B</w:t>
            </w:r>
          </w:p>
        </w:tc>
        <w:tc>
          <w:tcPr>
            <w:tcW w:type="dxa" w:w="1440"/>
          </w:tcPr>
          <w:p>
            <w:r>
              <w:rPr>
                <w:rFonts w:ascii="Calibri" w:hAnsi="Calibri"/>
                <w:b/>
                <w:color w:val="E5484D"/>
                <w:sz w:val="22"/>
              </w:rPr>
              <w:t>∓2.7%</w:t>
            </w:r>
          </w:p>
        </w:tc>
        <w:tc>
          <w:tcPr>
            <w:tcW w:type="dxa" w:w="1440"/>
          </w:tcPr>
          <w:p>
            <w:r>
              <w:rPr>
                <w:rFonts w:ascii="Calibri" w:hAnsi="Calibri"/>
                <w:b/>
                <w:color w:val="E5484D"/>
                <w:sz w:val="22"/>
              </w:rPr>
              <w:t>Miss</w:t>
            </w:r>
          </w:p>
        </w:tc>
      </w:tr>
      <w:tr>
        <w:tc>
          <w:tcPr>
            <w:tcW w:type="dxa" w:w="1440"/>
          </w:tcPr>
          <w:p>
            <w:r>
              <w:rPr>
                <w:rFonts w:ascii="Calibri" w:hAnsi="Calibri"/>
                <w:sz w:val="22"/>
              </w:rPr>
              <w:t>Q2 2025</w:t>
            </w:r>
          </w:p>
        </w:tc>
        <w:tc>
          <w:tcPr>
            <w:tcW w:type="dxa" w:w="1440"/>
          </w:tcPr>
          <w:p>
            <w:r>
              <w:rPr>
                <w:rFonts w:ascii="Calibri" w:hAnsi="Calibri"/>
                <w:sz w:val="22"/>
              </w:rPr>
              <w:t>Core EPS</w:t>
            </w:r>
          </w:p>
        </w:tc>
        <w:tc>
          <w:tcPr>
            <w:tcW w:type="dxa" w:w="1440"/>
          </w:tcPr>
          <w:p>
            <w:r>
              <w:rPr>
                <w:rFonts w:ascii="Calibri" w:hAnsi="Calibri"/>
                <w:sz w:val="22"/>
              </w:rPr>
              <w:t>$0.31</w:t>
            </w:r>
          </w:p>
        </w:tc>
        <w:tc>
          <w:tcPr>
            <w:tcW w:type="dxa" w:w="1440"/>
          </w:tcPr>
          <w:p>
            <w:r>
              <w:rPr>
                <w:rFonts w:ascii="Calibri" w:hAnsi="Calibri"/>
                <w:sz w:val="22"/>
              </w:rPr>
              <w:t>$0.348</w:t>
            </w:r>
          </w:p>
        </w:tc>
        <w:tc>
          <w:tcPr>
            <w:tcW w:type="dxa" w:w="1440"/>
          </w:tcPr>
          <w:p>
            <w:r>
              <w:rPr>
                <w:rFonts w:ascii="Calibri" w:hAnsi="Calibri"/>
                <w:b/>
                <w:color w:val="E5484D"/>
                <w:sz w:val="22"/>
              </w:rPr>
              <w:t>−10.9%</w:t>
            </w:r>
          </w:p>
        </w:tc>
        <w:tc>
          <w:tcPr>
            <w:tcW w:type="dxa" w:w="1440"/>
          </w:tcPr>
          <w:p>
            <w:r>
              <w:rPr>
                <w:rFonts w:ascii="Calibri" w:hAnsi="Calibri"/>
                <w:b/>
                <w:color w:val="E5484D"/>
                <w:sz w:val="22"/>
              </w:rPr>
              <w:t>Miss</w:t>
            </w:r>
          </w:p>
        </w:tc>
      </w:tr>
      <w:tr>
        <w:tc>
          <w:tcPr>
            <w:tcW w:type="dxa" w:w="1440"/>
          </w:tcPr>
          <w:p>
            <w:r>
              <w:rPr>
                <w:rFonts w:ascii="Calibri" w:hAnsi="Calibri"/>
                <w:sz w:val="22"/>
              </w:rPr>
              <w:t>Q2 2025</w:t>
            </w:r>
          </w:p>
        </w:tc>
        <w:tc>
          <w:tcPr>
            <w:tcW w:type="dxa" w:w="1440"/>
          </w:tcPr>
          <w:p>
            <w:r>
              <w:rPr>
                <w:rFonts w:ascii="Calibri" w:hAnsi="Calibri"/>
                <w:sz w:val="22"/>
              </w:rPr>
              <w:t>Revenue</w:t>
            </w:r>
          </w:p>
        </w:tc>
        <w:tc>
          <w:tcPr>
            <w:tcW w:type="dxa" w:w="1440"/>
          </w:tcPr>
          <w:p>
            <w:r>
              <w:rPr>
                <w:rFonts w:ascii="Calibri" w:hAnsi="Calibri"/>
                <w:sz w:val="22"/>
              </w:rPr>
              <w:t>$5.898B</w:t>
            </w:r>
          </w:p>
        </w:tc>
        <w:tc>
          <w:tcPr>
            <w:tcW w:type="dxa" w:w="1440"/>
          </w:tcPr>
          <w:p>
            <w:r>
              <w:rPr>
                <w:rFonts w:ascii="Calibri" w:hAnsi="Calibri"/>
                <w:sz w:val="22"/>
              </w:rPr>
              <w:t>$6.311B</w:t>
            </w:r>
          </w:p>
        </w:tc>
        <w:tc>
          <w:tcPr>
            <w:tcW w:type="dxa" w:w="1440"/>
          </w:tcPr>
          <w:p>
            <w:r>
              <w:rPr>
                <w:rFonts w:ascii="Calibri" w:hAnsi="Calibri"/>
                <w:b/>
                <w:color w:val="E5484D"/>
                <w:sz w:val="22"/>
              </w:rPr>
              <w:t>∓6.5%</w:t>
            </w:r>
          </w:p>
        </w:tc>
        <w:tc>
          <w:tcPr>
            <w:tcW w:type="dxa" w:w="1440"/>
          </w:tcPr>
          <w:p>
            <w:r>
              <w:rPr>
                <w:rFonts w:ascii="Calibri" w:hAnsi="Calibri"/>
                <w:b/>
                <w:color w:val="E5484D"/>
                <w:sz w:val="22"/>
              </w:rPr>
              <w:t>Miss</w:t>
            </w:r>
          </w:p>
        </w:tc>
      </w:tr>
      <w:tr>
        <w:tc>
          <w:tcPr>
            <w:tcW w:type="dxa" w:w="1440"/>
          </w:tcPr>
          <w:p>
            <w:r>
              <w:rPr>
                <w:rFonts w:ascii="Calibri" w:hAnsi="Calibri"/>
                <w:sz w:val="22"/>
              </w:rPr>
              <w:t>Q1 2025</w:t>
            </w:r>
          </w:p>
        </w:tc>
        <w:tc>
          <w:tcPr>
            <w:tcW w:type="dxa" w:w="1440"/>
          </w:tcPr>
          <w:p>
            <w:r>
              <w:rPr>
                <w:rFonts w:ascii="Calibri" w:hAnsi="Calibri"/>
                <w:sz w:val="22"/>
              </w:rPr>
              <w:t>Core EPS</w:t>
            </w:r>
          </w:p>
        </w:tc>
        <w:tc>
          <w:tcPr>
            <w:tcW w:type="dxa" w:w="1440"/>
          </w:tcPr>
          <w:p>
            <w:r>
              <w:rPr>
                <w:rFonts w:ascii="Calibri" w:hAnsi="Calibri"/>
                <w:sz w:val="22"/>
              </w:rPr>
              <w:t>$0.33</w:t>
            </w:r>
          </w:p>
        </w:tc>
        <w:tc>
          <w:tcPr>
            <w:tcW w:type="dxa" w:w="1440"/>
          </w:tcPr>
          <w:p>
            <w:r>
              <w:rPr>
                <w:rFonts w:ascii="Calibri" w:hAnsi="Calibri"/>
                <w:sz w:val="22"/>
              </w:rPr>
              <w:t>$0.352</w:t>
            </w:r>
          </w:p>
        </w:tc>
        <w:tc>
          <w:tcPr>
            <w:tcW w:type="dxa" w:w="1440"/>
          </w:tcPr>
          <w:p>
            <w:r>
              <w:rPr>
                <w:rFonts w:ascii="Calibri" w:hAnsi="Calibri"/>
                <w:b/>
                <w:color w:val="E5484D"/>
                <w:sz w:val="22"/>
              </w:rPr>
              <w:t>−6.3%</w:t>
            </w:r>
          </w:p>
        </w:tc>
        <w:tc>
          <w:tcPr>
            <w:tcW w:type="dxa" w:w="1440"/>
          </w:tcPr>
          <w:p>
            <w:r>
              <w:rPr>
                <w:rFonts w:ascii="Calibri" w:hAnsi="Calibri"/>
                <w:b/>
                <w:color w:val="E5484D"/>
                <w:sz w:val="22"/>
              </w:rPr>
              <w:t>Miss</w:t>
            </w:r>
          </w:p>
        </w:tc>
      </w:tr>
      <w:tr>
        <w:tc>
          <w:tcPr>
            <w:tcW w:type="dxa" w:w="1440"/>
          </w:tcPr>
          <w:p>
            <w:r>
              <w:rPr>
                <w:rFonts w:ascii="Calibri" w:hAnsi="Calibri"/>
                <w:sz w:val="22"/>
              </w:rPr>
              <w:t>Q1 2025</w:t>
            </w:r>
          </w:p>
        </w:tc>
        <w:tc>
          <w:tcPr>
            <w:tcW w:type="dxa" w:w="1440"/>
          </w:tcPr>
          <w:p>
            <w:r>
              <w:rPr>
                <w:rFonts w:ascii="Calibri" w:hAnsi="Calibri"/>
                <w:sz w:val="22"/>
              </w:rPr>
              <w:t>Revenue</w:t>
            </w:r>
          </w:p>
        </w:tc>
        <w:tc>
          <w:tcPr>
            <w:tcW w:type="dxa" w:w="1440"/>
          </w:tcPr>
          <w:p>
            <w:r>
              <w:rPr>
                <w:rFonts w:ascii="Calibri" w:hAnsi="Calibri"/>
                <w:sz w:val="22"/>
              </w:rPr>
              <w:t>$5.983B</w:t>
            </w:r>
          </w:p>
        </w:tc>
        <w:tc>
          <w:tcPr>
            <w:tcW w:type="dxa" w:w="1440"/>
          </w:tcPr>
          <w:p>
            <w:r>
              <w:rPr>
                <w:rFonts w:ascii="Calibri" w:hAnsi="Calibri"/>
                <w:sz w:val="22"/>
              </w:rPr>
              <w:t>$6.196B</w:t>
            </w:r>
          </w:p>
        </w:tc>
        <w:tc>
          <w:tcPr>
            <w:tcW w:type="dxa" w:w="1440"/>
          </w:tcPr>
          <w:p>
            <w:r>
              <w:rPr>
                <w:rFonts w:ascii="Calibri" w:hAnsi="Calibri"/>
                <w:b/>
                <w:color w:val="E5484D"/>
                <w:sz w:val="22"/>
              </w:rPr>
              <w:t>−3.4%</w:t>
            </w:r>
          </w:p>
        </w:tc>
        <w:tc>
          <w:tcPr>
            <w:tcW w:type="dxa" w:w="1440"/>
          </w:tcPr>
          <w:p>
            <w:r>
              <w:rPr>
                <w:rFonts w:ascii="Calibri" w:hAnsi="Calibri"/>
                <w:b/>
                <w:color w:val="E5484D"/>
                <w:sz w:val="22"/>
              </w:rPr>
              <w:t>Miss</w:t>
            </w:r>
          </w:p>
        </w:tc>
      </w:tr>
      <w:tr>
        <w:tc>
          <w:tcPr>
            <w:tcW w:type="dxa" w:w="1440"/>
          </w:tcPr>
          <w:p>
            <w:r>
              <w:rPr>
                <w:rFonts w:ascii="Calibri" w:hAnsi="Calibri"/>
                <w:sz w:val="22"/>
              </w:rPr>
              <w:t>Q4 2024</w:t>
            </w:r>
          </w:p>
        </w:tc>
        <w:tc>
          <w:tcPr>
            <w:tcW w:type="dxa" w:w="1440"/>
          </w:tcPr>
          <w:p>
            <w:r>
              <w:rPr>
                <w:rFonts w:ascii="Calibri" w:hAnsi="Calibri"/>
                <w:sz w:val="22"/>
              </w:rPr>
              <w:t>Core EPS</w:t>
            </w:r>
          </w:p>
        </w:tc>
        <w:tc>
          <w:tcPr>
            <w:tcW w:type="dxa" w:w="1440"/>
          </w:tcPr>
          <w:p>
            <w:r>
              <w:rPr>
                <w:rFonts w:ascii="Calibri" w:hAnsi="Calibri"/>
                <w:sz w:val="22"/>
              </w:rPr>
              <w:t>$0.304</w:t>
            </w:r>
          </w:p>
        </w:tc>
        <w:tc>
          <w:tcPr>
            <w:tcW w:type="dxa" w:w="1440"/>
          </w:tcPr>
          <w:p>
            <w:r>
              <w:rPr>
                <w:rFonts w:ascii="Calibri" w:hAnsi="Calibri"/>
                <w:sz w:val="22"/>
              </w:rPr>
              <w:t>$0.311</w:t>
            </w:r>
          </w:p>
        </w:tc>
        <w:tc>
          <w:tcPr>
            <w:tcW w:type="dxa" w:w="1440"/>
          </w:tcPr>
          <w:p>
            <w:r>
              <w:rPr>
                <w:rFonts w:ascii="Calibri" w:hAnsi="Calibri"/>
                <w:b/>
                <w:color w:val="E5484D"/>
                <w:sz w:val="22"/>
              </w:rPr>
              <w:t>−2.3%</w:t>
            </w:r>
          </w:p>
        </w:tc>
        <w:tc>
          <w:tcPr>
            <w:tcW w:type="dxa" w:w="1440"/>
          </w:tcPr>
          <w:p>
            <w:r>
              <w:rPr>
                <w:rFonts w:ascii="Calibri" w:hAnsi="Calibri"/>
                <w:b/>
                <w:color w:val="E5484D"/>
                <w:sz w:val="22"/>
              </w:rPr>
              <w:t>Miss</w:t>
            </w:r>
          </w:p>
        </w:tc>
      </w:tr>
      <w:tr>
        <w:tc>
          <w:tcPr>
            <w:tcW w:type="dxa" w:w="1440"/>
          </w:tcPr>
          <w:p>
            <w:r>
              <w:rPr>
                <w:rFonts w:ascii="Calibri" w:hAnsi="Calibri"/>
                <w:sz w:val="22"/>
              </w:rPr>
              <w:t>Q4 2024</w:t>
            </w:r>
          </w:p>
        </w:tc>
        <w:tc>
          <w:tcPr>
            <w:tcW w:type="dxa" w:w="1440"/>
          </w:tcPr>
          <w:p>
            <w:r>
              <w:rPr>
                <w:rFonts w:ascii="Calibri" w:hAnsi="Calibri"/>
                <w:sz w:val="22"/>
              </w:rPr>
              <w:t>Revenue</w:t>
            </w:r>
          </w:p>
        </w:tc>
        <w:tc>
          <w:tcPr>
            <w:tcW w:type="dxa" w:w="1440"/>
          </w:tcPr>
          <w:p>
            <w:r>
              <w:rPr>
                <w:rFonts w:ascii="Calibri" w:hAnsi="Calibri"/>
                <w:sz w:val="22"/>
              </w:rPr>
              <w:t>$6.631B</w:t>
            </w:r>
          </w:p>
        </w:tc>
        <w:tc>
          <w:tcPr>
            <w:tcW w:type="dxa" w:w="1440"/>
          </w:tcPr>
          <w:p>
            <w:r>
              <w:rPr>
                <w:rFonts w:ascii="Calibri" w:hAnsi="Calibri"/>
                <w:sz w:val="22"/>
              </w:rPr>
              <w:t>$7.130B</w:t>
            </w:r>
          </w:p>
        </w:tc>
        <w:tc>
          <w:tcPr>
            <w:tcW w:type="dxa" w:w="1440"/>
          </w:tcPr>
          <w:p>
            <w:r>
              <w:rPr>
                <w:rFonts w:ascii="Calibri" w:hAnsi="Calibri"/>
                <w:b/>
                <w:color w:val="E5484D"/>
                <w:sz w:val="22"/>
              </w:rPr>
              <w:t>∓7.0%</w:t>
            </w:r>
          </w:p>
        </w:tc>
        <w:tc>
          <w:tcPr>
            <w:tcW w:type="dxa" w:w="1440"/>
          </w:tcPr>
          <w:p>
            <w:r>
              <w:rPr>
                <w:rFonts w:ascii="Calibri" w:hAnsi="Calibri"/>
                <w:b/>
                <w:color w:val="E5484D"/>
                <w:sz w:val="22"/>
              </w:rPr>
              <w:t>Miss</w:t>
            </w:r>
          </w:p>
        </w:tc>
      </w:tr>
      <w:tr>
        <w:tc>
          <w:tcPr>
            <w:tcW w:type="dxa" w:w="1440"/>
          </w:tcPr>
          <w:p>
            <w:r>
              <w:rPr>
                <w:rFonts w:ascii="Calibri" w:hAnsi="Calibri"/>
                <w:sz w:val="22"/>
              </w:rPr>
              <w:t>Q3 2024</w:t>
            </w:r>
          </w:p>
        </w:tc>
        <w:tc>
          <w:tcPr>
            <w:tcW w:type="dxa" w:w="1440"/>
          </w:tcPr>
          <w:p>
            <w:r>
              <w:rPr>
                <w:rFonts w:ascii="Calibri" w:hAnsi="Calibri"/>
                <w:sz w:val="22"/>
              </w:rPr>
              <w:t>Core EPS</w:t>
            </w:r>
          </w:p>
        </w:tc>
        <w:tc>
          <w:tcPr>
            <w:tcW w:type="dxa" w:w="1440"/>
          </w:tcPr>
          <w:p>
            <w:r>
              <w:rPr>
                <w:rFonts w:ascii="Calibri" w:hAnsi="Calibri"/>
                <w:sz w:val="22"/>
              </w:rPr>
              <w:t>$0.37</w:t>
            </w:r>
          </w:p>
        </w:tc>
        <w:tc>
          <w:tcPr>
            <w:tcW w:type="dxa" w:w="1440"/>
          </w:tcPr>
          <w:p>
            <w:r>
              <w:rPr>
                <w:rFonts w:ascii="Calibri" w:hAnsi="Calibri"/>
                <w:sz w:val="22"/>
              </w:rPr>
              <w:t>$0.321</w:t>
            </w:r>
          </w:p>
        </w:tc>
        <w:tc>
          <w:tcPr>
            <w:tcW w:type="dxa" w:w="1440"/>
          </w:tcPr>
          <w:p>
            <w:r>
              <w:rPr>
                <w:rFonts w:ascii="Calibri" w:hAnsi="Calibri"/>
                <w:b/>
                <w:color w:val="30A46C"/>
                <w:sz w:val="22"/>
              </w:rPr>
              <w:t>+15.3%</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Revenue</w:t>
            </w:r>
          </w:p>
        </w:tc>
        <w:tc>
          <w:tcPr>
            <w:tcW w:type="dxa" w:w="1440"/>
          </w:tcPr>
          <w:p>
            <w:r>
              <w:rPr>
                <w:rFonts w:ascii="Calibri" w:hAnsi="Calibri"/>
                <w:sz w:val="22"/>
              </w:rPr>
              <w:t>$5.941B</w:t>
            </w:r>
          </w:p>
        </w:tc>
        <w:tc>
          <w:tcPr>
            <w:tcW w:type="dxa" w:w="1440"/>
          </w:tcPr>
          <w:p>
            <w:r>
              <w:rPr>
                <w:rFonts w:ascii="Calibri" w:hAnsi="Calibri"/>
                <w:sz w:val="22"/>
              </w:rPr>
              <w:t>$6.372B</w:t>
            </w:r>
          </w:p>
        </w:tc>
        <w:tc>
          <w:tcPr>
            <w:tcW w:type="dxa" w:w="1440"/>
          </w:tcPr>
          <w:p>
            <w:r>
              <w:rPr>
                <w:rFonts w:ascii="Calibri" w:hAnsi="Calibri"/>
                <w:b/>
                <w:color w:val="E5484D"/>
                <w:sz w:val="22"/>
              </w:rPr>
              <w:t>−6.8%</w:t>
            </w:r>
          </w:p>
        </w:tc>
        <w:tc>
          <w:tcPr>
            <w:tcW w:type="dxa" w:w="1440"/>
          </w:tcPr>
          <w:p>
            <w:r>
              <w:rPr>
                <w:rFonts w:ascii="Calibri" w:hAnsi="Calibri"/>
                <w:b/>
                <w:color w:val="E5484D"/>
                <w:sz w:val="22"/>
              </w:rPr>
              <w:t>Miss</w:t>
            </w:r>
          </w:p>
        </w:tc>
      </w:tr>
      <w:tr>
        <w:tc>
          <w:tcPr>
            <w:tcW w:type="dxa" w:w="1440"/>
          </w:tcPr>
          <w:p>
            <w:r>
              <w:rPr>
                <w:rFonts w:ascii="Calibri" w:hAnsi="Calibri"/>
                <w:sz w:val="22"/>
              </w:rPr>
              <w:t>Q2 2024</w:t>
            </w:r>
          </w:p>
        </w:tc>
        <w:tc>
          <w:tcPr>
            <w:tcW w:type="dxa" w:w="1440"/>
          </w:tcPr>
          <w:p>
            <w:r>
              <w:rPr>
                <w:rFonts w:ascii="Calibri" w:hAnsi="Calibri"/>
                <w:sz w:val="22"/>
              </w:rPr>
              <w:t>Core EPS</w:t>
            </w:r>
          </w:p>
        </w:tc>
        <w:tc>
          <w:tcPr>
            <w:tcW w:type="dxa" w:w="1440"/>
          </w:tcPr>
          <w:p>
            <w:r>
              <w:rPr>
                <w:rFonts w:ascii="Calibri" w:hAnsi="Calibri"/>
                <w:sz w:val="22"/>
              </w:rPr>
              <w:t>$0.31</w:t>
            </w:r>
          </w:p>
        </w:tc>
        <w:tc>
          <w:tcPr>
            <w:tcW w:type="dxa" w:w="1440"/>
          </w:tcPr>
          <w:p>
            <w:r>
              <w:rPr>
                <w:rFonts w:ascii="Calibri" w:hAnsi="Calibri"/>
                <w:sz w:val="22"/>
              </w:rPr>
              <w:t>$0.286</w:t>
            </w:r>
          </w:p>
        </w:tc>
        <w:tc>
          <w:tcPr>
            <w:tcW w:type="dxa" w:w="1440"/>
          </w:tcPr>
          <w:p>
            <w:r>
              <w:rPr>
                <w:rFonts w:ascii="Calibri" w:hAnsi="Calibri"/>
                <w:b/>
                <w:color w:val="30A46C"/>
                <w:sz w:val="22"/>
              </w:rPr>
              <w:t>+8.4%</w:t>
            </w:r>
          </w:p>
        </w:tc>
        <w:tc>
          <w:tcPr>
            <w:tcW w:type="dxa" w:w="1440"/>
          </w:tcPr>
          <w:p>
            <w:r>
              <w:rPr>
                <w:rFonts w:ascii="Calibri" w:hAnsi="Calibri"/>
                <w:b/>
                <w:color w:val="30A46C"/>
                <w:sz w:val="22"/>
              </w:rPr>
              <w:t>Beat</w:t>
            </w:r>
          </w:p>
        </w:tc>
      </w:tr>
      <w:tr>
        <w:tc>
          <w:tcPr>
            <w:tcW w:type="dxa" w:w="1440"/>
          </w:tcPr>
          <w:p>
            <w:r>
              <w:rPr>
                <w:rFonts w:ascii="Calibri" w:hAnsi="Calibri"/>
                <w:sz w:val="22"/>
              </w:rPr>
              <w:t>Q2 2024</w:t>
            </w:r>
          </w:p>
        </w:tc>
        <w:tc>
          <w:tcPr>
            <w:tcW w:type="dxa" w:w="1440"/>
          </w:tcPr>
          <w:p>
            <w:r>
              <w:rPr>
                <w:rFonts w:ascii="Calibri" w:hAnsi="Calibri"/>
                <w:sz w:val="22"/>
              </w:rPr>
              <w:t>Revenue</w:t>
            </w:r>
          </w:p>
        </w:tc>
        <w:tc>
          <w:tcPr>
            <w:tcW w:type="dxa" w:w="1440"/>
          </w:tcPr>
          <w:p>
            <w:r>
              <w:rPr>
                <w:rFonts w:ascii="Calibri" w:hAnsi="Calibri"/>
                <w:sz w:val="22"/>
              </w:rPr>
              <w:t>$5.986B</w:t>
            </w:r>
          </w:p>
        </w:tc>
        <w:tc>
          <w:tcPr>
            <w:tcW w:type="dxa" w:w="1440"/>
          </w:tcPr>
          <w:p>
            <w:r>
              <w:rPr>
                <w:rFonts w:ascii="Calibri" w:hAnsi="Calibri"/>
                <w:sz w:val="22"/>
              </w:rPr>
              <w:t>$5.805B</w:t>
            </w:r>
          </w:p>
        </w:tc>
        <w:tc>
          <w:tcPr>
            <w:tcW w:type="dxa" w:w="1440"/>
          </w:tcPr>
          <w:p>
            <w:r>
              <w:rPr>
                <w:rFonts w:ascii="Calibri" w:hAnsi="Calibri"/>
                <w:b/>
                <w:color w:val="30A46C"/>
                <w:sz w:val="22"/>
              </w:rPr>
              <w:t>+3.1%</w:t>
            </w:r>
          </w:p>
        </w:tc>
        <w:tc>
          <w:tcPr>
            <w:tcW w:type="dxa" w:w="1440"/>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Core EPS beats are lumpy — PCG has beaten in Q1 2026, Q3 2025, Q3 2024, and Q2 2024, but missed in Q4 2025, Q2 2025, Q1 2025, and Q4 2024. Revenue misses are more consistent, with the street historically setting a high bar on the top line; Q1 2026 was a notable exception. The EPS beat/miss pattern correlates with O&amp;M timing and regulatory items rather than underlying demand, suggesting Q2 2026 is a coin-flip on EPS but with a slight lean toward a beat given the strong O&amp;M savings momentum flagged at Q1.</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Full-year 2026 core EPS guidance of $1.64–$1.66 was reaffirmed at Q1 and has not been revised since; management tone has shifted from cautious to confident, with CEO Patti Poppe declaring “performance is power, and we are performing.” The most significant post-earnings development is the passage of SB 254 Phase 2, which was not in the original guidance framework and could prompt management to address capital plan implications on the Q2 call.</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23)</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Core EPS</w:t>
            </w:r>
          </w:p>
        </w:tc>
        <w:tc>
          <w:tcPr>
            <w:tcW w:type="dxa" w:w="1728"/>
          </w:tcPr>
          <w:p>
            <w:r>
              <w:rPr>
                <w:rFonts w:ascii="Calibri" w:hAnsi="Calibri"/>
                <w:sz w:val="22"/>
              </w:rPr>
              <w:t>$1.64–$1.66 (midpoint $1.65)</w:t>
            </w:r>
          </w:p>
        </w:tc>
        <w:tc>
          <w:tcPr>
            <w:tcW w:type="dxa" w:w="1728"/>
          </w:tcPr>
          <w:p>
            <w:r>
              <w:rPr>
                <w:rFonts w:ascii="Calibri" w:hAnsi="Calibri"/>
                <w:sz w:val="22"/>
              </w:rPr>
              <w:t>— Unchanged</w:t>
            </w:r>
          </w:p>
        </w:tc>
        <w:tc>
          <w:tcPr>
            <w:tcW w:type="dxa" w:w="1728"/>
          </w:tcPr>
          <w:p>
            <w:r>
              <w:rPr>
                <w:rFonts w:ascii="Calibri" w:hAnsi="Calibri"/>
                <w:sz w:val="22"/>
              </w:rPr>
              <w:t>$1.628</w:t>
            </w:r>
          </w:p>
        </w:tc>
        <w:tc>
          <w:tcPr>
            <w:tcW w:type="dxa" w:w="1728"/>
          </w:tcPr>
          <w:p>
            <w:r>
              <w:rPr>
                <w:rFonts w:ascii="Calibri" w:hAnsi="Calibri"/>
                <w:sz w:val="22"/>
              </w:rPr>
              <w:t>Reaffirmed at Q1; implies 10% growth over 2025; would be 5th consecutive year of double-digit core EPS growth</w:t>
            </w:r>
          </w:p>
        </w:tc>
      </w:tr>
      <w:tr>
        <w:tc>
          <w:tcPr>
            <w:tcW w:type="dxa" w:w="1728"/>
          </w:tcPr>
          <w:p>
            <w:r>
              <w:rPr>
                <w:rFonts w:ascii="Calibri" w:hAnsi="Calibri"/>
                <w:sz w:val="22"/>
              </w:rPr>
              <w:t>Long-Term EPS Growth (2027–2030)</w:t>
            </w:r>
          </w:p>
        </w:tc>
        <w:tc>
          <w:tcPr>
            <w:tcW w:type="dxa" w:w="1728"/>
          </w:tcPr>
          <w:p>
            <w:r>
              <w:rPr>
                <w:rFonts w:ascii="Calibri" w:hAnsi="Calibri"/>
                <w:sz w:val="22"/>
              </w:rPr>
              <w:t>9%+ annually</w:t>
            </w:r>
          </w:p>
        </w:tc>
        <w:tc>
          <w:tcPr>
            <w:tcW w:type="dxa" w:w="1728"/>
          </w:tcPr>
          <w:p>
            <w:r>
              <w:rPr>
                <w:rFonts w:ascii="Calibri" w:hAnsi="Calibri"/>
                <w:sz w:val="22"/>
              </w:rPr>
              <w:t>— Unchanged</w:t>
            </w:r>
          </w:p>
        </w:tc>
        <w:tc>
          <w:tcPr>
            <w:tcW w:type="dxa" w:w="1728"/>
          </w:tcPr>
          <w:p>
            <w:r>
              <w:rPr>
                <w:rFonts w:ascii="Calibri" w:hAnsi="Calibri"/>
                <w:sz w:val="22"/>
              </w:rPr>
              <w:t>FY 2027 consensus: $1.772</w:t>
            </w:r>
          </w:p>
        </w:tc>
        <w:tc>
          <w:tcPr>
            <w:tcW w:type="dxa" w:w="1728"/>
          </w:tcPr>
          <w:p>
            <w:r>
              <w:rPr>
                <w:rFonts w:ascii="Calibri" w:hAnsi="Calibri"/>
                <w:sz w:val="22"/>
              </w:rPr>
              <w:t>Reaffirmed at Q1; SB 254 Phase 2 passage (July 2026) may prompt updated framing on Q2 call</w:t>
            </w:r>
          </w:p>
        </w:tc>
      </w:tr>
      <w:tr>
        <w:tc>
          <w:tcPr>
            <w:tcW w:type="dxa" w:w="1728"/>
          </w:tcPr>
          <w:p>
            <w:r>
              <w:rPr>
                <w:rFonts w:ascii="Calibri" w:hAnsi="Calibri"/>
                <w:sz w:val="22"/>
              </w:rPr>
              <w:t>5-Year Capital Plan</w:t>
            </w:r>
          </w:p>
        </w:tc>
        <w:tc>
          <w:tcPr>
            <w:tcW w:type="dxa" w:w="1728"/>
          </w:tcPr>
          <w:p>
            <w:r>
              <w:rPr>
                <w:rFonts w:ascii="Calibri" w:hAnsi="Calibri"/>
                <w:sz w:val="22"/>
              </w:rPr>
              <w:t>$73B through 2030; no new equity</w:t>
            </w:r>
          </w:p>
        </w:tc>
        <w:tc>
          <w:tcPr>
            <w:tcW w:type="dxa" w:w="1728"/>
          </w:tcPr>
          <w:p>
            <w:r>
              <w:rPr>
                <w:rFonts w:ascii="Calibri" w:hAnsi="Calibri"/>
                <w:sz w:val="22"/>
              </w:rPr>
              <w:t>— Unchanged</w:t>
            </w:r>
          </w:p>
        </w:tc>
        <w:tc>
          <w:tcPr>
            <w:tcW w:type="dxa" w:w="1728"/>
          </w:tcPr>
          <w:p>
            <w:r>
              <w:rPr>
                <w:rFonts w:ascii="Calibri" w:hAnsi="Calibri"/>
                <w:sz w:val="22"/>
              </w:rPr>
              <w:t>FY 2026 CapEx consensus: $12.43B</w:t>
            </w:r>
          </w:p>
        </w:tc>
        <w:tc>
          <w:tcPr>
            <w:tcW w:type="dxa" w:w="1728"/>
          </w:tcPr>
          <w:p>
            <w:r>
              <w:rPr>
                <w:rFonts w:ascii="Calibri" w:hAnsi="Calibri"/>
                <w:sz w:val="22"/>
              </w:rPr>
              <w:t>SB 254 Phase 2 excludes $6B of wildfire mitigation capex from rate base through 2035; management may address impact on plan structure</w:t>
            </w:r>
          </w:p>
        </w:tc>
      </w:tr>
      <w:tr>
        <w:tc>
          <w:tcPr>
            <w:tcW w:type="dxa" w:w="1728"/>
          </w:tcPr>
          <w:p>
            <w:r>
              <w:rPr>
                <w:rFonts w:ascii="Calibri" w:hAnsi="Calibri"/>
                <w:sz w:val="22"/>
              </w:rPr>
              <w:t>O&amp;M Savings Target</w:t>
            </w:r>
          </w:p>
        </w:tc>
        <w:tc>
          <w:tcPr>
            <w:tcW w:type="dxa" w:w="1728"/>
          </w:tcPr>
          <w:p>
            <w:r>
              <w:rPr>
                <w:rFonts w:ascii="Calibri" w:hAnsi="Calibri"/>
                <w:sz w:val="22"/>
              </w:rPr>
              <w:t>2%–4% annual nonfuel O&amp;M reduction</w:t>
            </w:r>
          </w:p>
        </w:tc>
        <w:tc>
          <w:tcPr>
            <w:tcW w:type="dxa" w:w="1728"/>
          </w:tcPr>
          <w:p>
            <w:r>
              <w:rPr>
                <w:rFonts w:ascii="Calibri" w:hAnsi="Calibri"/>
                <w:sz w:val="22"/>
              </w:rPr>
              <w:t>— Unchanged</w:t>
            </w:r>
          </w:p>
        </w:tc>
        <w:tc>
          <w:tcPr>
            <w:tcW w:type="dxa" w:w="1728"/>
          </w:tcPr>
          <w:p>
            <w:r>
              <w:rPr>
                <w:rFonts w:ascii="Calibri" w:hAnsi="Calibri"/>
                <w:sz w:val="22"/>
              </w:rPr>
              <w:t>FY 2026 O&amp;M consensus: $11.21B</w:t>
            </w:r>
          </w:p>
        </w:tc>
        <w:tc>
          <w:tcPr>
            <w:tcW w:type="dxa" w:w="1728"/>
          </w:tcPr>
          <w:p>
            <w:r>
              <w:rPr>
                <w:rFonts w:ascii="Calibri" w:hAnsi="Calibri"/>
                <w:sz w:val="22"/>
              </w:rPr>
              <w:t>Satellite/LiDAR initiative expected to deliver $24M in annual O&amp;M savings in 2026 alone; continuous monitoring saving millions in avoided outage minutes</w:t>
            </w:r>
          </w:p>
        </w:tc>
      </w:tr>
      <w:tr>
        <w:tc>
          <w:tcPr>
            <w:tcW w:type="dxa" w:w="1728"/>
          </w:tcPr>
          <w:p>
            <w:r>
              <w:rPr>
                <w:rFonts w:ascii="Calibri" w:hAnsi="Calibri"/>
                <w:sz w:val="22"/>
              </w:rPr>
              <w:t>FFO-to-Debt Target</w:t>
            </w:r>
          </w:p>
        </w:tc>
        <w:tc>
          <w:tcPr>
            <w:tcW w:type="dxa" w:w="1728"/>
          </w:tcPr>
          <w:p>
            <w:r>
              <w:rPr>
                <w:rFonts w:ascii="Calibri" w:hAnsi="Calibri"/>
                <w:sz w:val="22"/>
              </w:rPr>
              <w:t>Mid-teens (targeting investment grade)</w:t>
            </w:r>
          </w:p>
        </w:tc>
        <w:tc>
          <w:tcPr>
            <w:tcW w:type="dxa" w:w="1728"/>
          </w:tcPr>
          <w:p>
            <w:r>
              <w:rPr>
                <w:rFonts w:ascii="Calibri" w:hAnsi="Calibri"/>
                <w:sz w:val="22"/>
              </w:rPr>
              <w:t>— Unchanged</w:t>
            </w:r>
          </w:p>
        </w:tc>
        <w:tc>
          <w:tcPr>
            <w:tcW w:type="dxa" w:w="1728"/>
          </w:tcPr>
          <w:p>
            <w:r>
              <w:rPr>
                <w:rFonts w:ascii="Calibri" w:hAnsi="Calibri"/>
                <w:sz w:val="22"/>
              </w:rPr>
              <w:t>N/A — not in VA</w:t>
            </w:r>
          </w:p>
        </w:tc>
        <w:tc>
          <w:tcPr>
            <w:tcW w:type="dxa" w:w="1728"/>
          </w:tcPr>
          <w:p>
            <w:r>
              <w:rPr>
                <w:rFonts w:ascii="Calibri" w:hAnsi="Calibri"/>
                <w:sz w:val="22"/>
              </w:rPr>
              <w:t>Moody’s revised outlook to positive (Feb 2026); S&amp;P upgraded to BB+ (Apr 23, 2026); Fitch affirmed with FFO leverage below 5.5x downgrade threshold</w:t>
            </w:r>
          </w:p>
        </w:tc>
      </w:tr>
      <w:tr>
        <w:tc>
          <w:tcPr>
            <w:tcW w:type="dxa" w:w="1728"/>
          </w:tcPr>
          <w:p>
            <w:r>
              <w:rPr>
                <w:rFonts w:ascii="Calibri" w:hAnsi="Calibri"/>
                <w:sz w:val="22"/>
              </w:rPr>
              <w:t>Dividend Payout Ratio</w:t>
            </w:r>
          </w:p>
        </w:tc>
        <w:tc>
          <w:tcPr>
            <w:tcW w:type="dxa" w:w="1728"/>
          </w:tcPr>
          <w:p>
            <w:r>
              <w:rPr>
                <w:rFonts w:ascii="Calibri" w:hAnsi="Calibri"/>
                <w:sz w:val="22"/>
              </w:rPr>
              <w:t>Ramp to 20% by 2028, maintain through 2030</w:t>
            </w:r>
          </w:p>
        </w:tc>
        <w:tc>
          <w:tcPr>
            <w:tcW w:type="dxa" w:w="1728"/>
          </w:tcPr>
          <w:p>
            <w:r>
              <w:rPr>
                <w:rFonts w:ascii="Calibri" w:hAnsi="Calibri"/>
                <w:sz w:val="22"/>
              </w:rPr>
              <w:t>— Unchanged</w:t>
            </w:r>
          </w:p>
        </w:tc>
        <w:tc>
          <w:tcPr>
            <w:tcW w:type="dxa" w:w="1728"/>
          </w:tcPr>
          <w:p>
            <w:r>
              <w:rPr>
                <w:rFonts w:ascii="Calibri" w:hAnsi="Calibri"/>
                <w:sz w:val="22"/>
              </w:rPr>
              <w:t>N/A — not in VA</w:t>
            </w:r>
          </w:p>
        </w:tc>
        <w:tc>
          <w:tcPr>
            <w:tcW w:type="dxa" w:w="1728"/>
          </w:tcPr>
          <w:p>
            <w:r>
              <w:rPr>
                <w:rFonts w:ascii="Calibri" w:hAnsi="Calibri"/>
                <w:sz w:val="22"/>
              </w:rPr>
              <w:t>No change; consistent with no new equity issuance through 2030</w:t>
            </w:r>
          </w:p>
        </w:tc>
      </w:tr>
    </w:tbl>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been broadly stable since the Q1 print — Q2 2026 core EPS consensus ticked down slightly from $0.373 to $0.363 (a −2.7% revision), while FY 2026 consensus of $1.628 sits just 1.3% below the guidance midpoint of $1.65, representing a modest cushion rather than a risk. The gap between consensus and guidance is not a red flag; it reflects the street’s conservative treatment of timing items and O&amp;M redeployment.</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(Apr 28, 2026)</w:t>
            </w:r>
          </w:p>
        </w:tc>
        <w:tc>
          <w:tcPr>
            <w:tcW w:type="dxa" w:w="1080"/>
            <w:shd w:val="clear" w:color="auto" w:fill="3B4259"/>
          </w:tcPr>
          <w:p>
            <w:r>
              <w:rPr>
                <w:rFonts w:ascii="Calibri" w:hAnsi="Calibri"/>
                <w:b/>
                <w:color w:val="FFFFFF"/>
                <w:sz w:val="22"/>
              </w:rPr>
              <w:t>Current Consensus (Jul 22,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Core EPS — Q2 2026</w:t>
            </w:r>
          </w:p>
        </w:tc>
        <w:tc>
          <w:tcPr>
            <w:tcW w:type="dxa" w:w="1080"/>
          </w:tcPr>
          <w:p>
            <w:r>
              <w:rPr>
                <w:rFonts w:ascii="Calibri" w:hAnsi="Calibri"/>
                <w:sz w:val="22"/>
              </w:rPr>
              <w:t>$0.373</w:t>
            </w:r>
          </w:p>
        </w:tc>
        <w:tc>
          <w:tcPr>
            <w:tcW w:type="dxa" w:w="1080"/>
          </w:tcPr>
          <w:p>
            <w:r>
              <w:rPr>
                <w:rFonts w:ascii="Calibri" w:hAnsi="Calibri"/>
                <w:sz w:val="22"/>
              </w:rPr>
              <w:t>$0.363</w:t>
            </w:r>
          </w:p>
        </w:tc>
        <w:tc>
          <w:tcPr>
            <w:tcW w:type="dxa" w:w="1080"/>
          </w:tcPr>
          <w:p>
            <w:r>
              <w:rPr>
                <w:rFonts w:ascii="Calibri" w:hAnsi="Calibri"/>
                <w:b/>
                <w:color w:val="E5484D"/>
                <w:sz w:val="22"/>
              </w:rPr>
              <w:t>−2.7%</w:t>
            </w:r>
          </w:p>
        </w:tc>
        <w:tc>
          <w:tcPr>
            <w:tcW w:type="dxa" w:w="1080"/>
          </w:tcPr>
          <w:p>
            <w:r>
              <w:rPr>
                <w:rFonts w:ascii="Calibri" w:hAnsi="Calibri"/>
                <w:sz w:val="22"/>
              </w:rPr>
              <w:t>No quarterly guidance provided</w:t>
            </w:r>
          </w:p>
        </w:tc>
        <w:tc>
          <w:tcPr>
            <w:tcW w:type="dxa" w:w="1080"/>
          </w:tcPr>
          <w:p>
            <w:r>
              <w:rPr>
                <w:rFonts w:ascii="Calibri" w:hAnsi="Calibri"/>
                <w:sz w:val="22"/>
              </w:rPr>
              <w:t>No quarterly guidance provided</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Core EPS — FY 2026</w:t>
            </w:r>
          </w:p>
        </w:tc>
        <w:tc>
          <w:tcPr>
            <w:tcW w:type="dxa" w:w="1080"/>
          </w:tcPr>
          <w:p>
            <w:r>
              <w:rPr>
                <w:rFonts w:ascii="Calibri" w:hAnsi="Calibri"/>
                <w:sz w:val="22"/>
              </w:rPr>
              <w:t>$1.615</w:t>
            </w:r>
          </w:p>
        </w:tc>
        <w:tc>
          <w:tcPr>
            <w:tcW w:type="dxa" w:w="1080"/>
          </w:tcPr>
          <w:p>
            <w:r>
              <w:rPr>
                <w:rFonts w:ascii="Calibri" w:hAnsi="Calibri"/>
                <w:sz w:val="22"/>
              </w:rPr>
              <w:t>$1.628</w:t>
            </w:r>
          </w:p>
        </w:tc>
        <w:tc>
          <w:tcPr>
            <w:tcW w:type="dxa" w:w="1080"/>
          </w:tcPr>
          <w:p>
            <w:r>
              <w:rPr>
                <w:rFonts w:ascii="Calibri" w:hAnsi="Calibri"/>
                <w:b/>
                <w:color w:val="30A46C"/>
                <w:sz w:val="22"/>
              </w:rPr>
              <w:t>+0.8%</w:t>
            </w:r>
          </w:p>
        </w:tc>
        <w:tc>
          <w:tcPr>
            <w:tcW w:type="dxa" w:w="1080"/>
          </w:tcPr>
          <w:p>
            <w:r>
              <w:rPr>
                <w:rFonts w:ascii="Calibri" w:hAnsi="Calibri"/>
                <w:sz w:val="22"/>
              </w:rPr>
              <w:t>$1.64–$1.66</w:t>
            </w:r>
          </w:p>
        </w:tc>
        <w:tc>
          <w:tcPr>
            <w:tcW w:type="dxa" w:w="1080"/>
          </w:tcPr>
          <w:p>
            <w:r>
              <w:rPr>
                <w:rFonts w:ascii="Calibri" w:hAnsi="Calibri"/>
                <w:sz w:val="22"/>
              </w:rPr>
              <w:t>$1.64–$1.66 (unchanged)</w:t>
            </w:r>
          </w:p>
        </w:tc>
        <w:tc>
          <w:tcPr>
            <w:tcW w:type="dxa" w:w="1080"/>
          </w:tcPr>
          <w:p>
            <w:r>
              <w:rPr>
                <w:rFonts w:ascii="Calibri" w:hAnsi="Calibri"/>
                <w:sz w:val="22"/>
              </w:rPr>
              <w:t>0%</w:t>
            </w:r>
          </w:p>
        </w:tc>
        <w:tc>
          <w:tcPr>
            <w:tcW w:type="dxa" w:w="1080"/>
          </w:tcPr>
          <w:p>
            <w:r>
              <w:rPr>
                <w:rFonts w:ascii="Calibri" w:hAnsi="Calibri"/>
                <w:sz w:val="22"/>
              </w:rPr>
              <w:t>−1.3% vs. midpoint</w:t>
            </w:r>
          </w:p>
        </w:tc>
      </w:tr>
      <w:tr>
        <w:tc>
          <w:tcPr>
            <w:tcW w:type="dxa" w:w="1080"/>
          </w:tcPr>
          <w:p>
            <w:r>
              <w:rPr>
                <w:rFonts w:ascii="Calibri" w:hAnsi="Calibri"/>
                <w:sz w:val="22"/>
              </w:rPr>
              <w:t>Core EPS — FY 2027</w:t>
            </w:r>
          </w:p>
        </w:tc>
        <w:tc>
          <w:tcPr>
            <w:tcW w:type="dxa" w:w="1080"/>
          </w:tcPr>
          <w:p>
            <w:r>
              <w:rPr>
                <w:rFonts w:ascii="Calibri" w:hAnsi="Calibri"/>
                <w:sz w:val="22"/>
              </w:rPr>
              <w:t>$1.760</w:t>
            </w:r>
          </w:p>
        </w:tc>
        <w:tc>
          <w:tcPr>
            <w:tcW w:type="dxa" w:w="1080"/>
          </w:tcPr>
          <w:p>
            <w:r>
              <w:rPr>
                <w:rFonts w:ascii="Calibri" w:hAnsi="Calibri"/>
                <w:sz w:val="22"/>
              </w:rPr>
              <w:t>$1.772</w:t>
            </w:r>
          </w:p>
        </w:tc>
        <w:tc>
          <w:tcPr>
            <w:tcW w:type="dxa" w:w="1080"/>
          </w:tcPr>
          <w:p>
            <w:r>
              <w:rPr>
                <w:rFonts w:ascii="Calibri" w:hAnsi="Calibri"/>
                <w:b/>
                <w:color w:val="30A46C"/>
                <w:sz w:val="22"/>
              </w:rPr>
              <w:t>+0.7%</w:t>
            </w:r>
          </w:p>
        </w:tc>
        <w:tc>
          <w:tcPr>
            <w:tcW w:type="dxa" w:w="1080"/>
          </w:tcPr>
          <w:p>
            <w:r>
              <w:rPr>
                <w:rFonts w:ascii="Calibri" w:hAnsi="Calibri"/>
                <w:sz w:val="22"/>
              </w:rPr>
              <w:t>9%+ growth (long-term)</w:t>
            </w:r>
          </w:p>
        </w:tc>
        <w:tc>
          <w:tcPr>
            <w:tcW w:type="dxa" w:w="1080"/>
          </w:tcPr>
          <w:p>
            <w:r>
              <w:rPr>
                <w:rFonts w:ascii="Calibri" w:hAnsi="Calibri"/>
                <w:sz w:val="22"/>
              </w:rPr>
              <w:t>9%+ growth (unchanged)</w:t>
            </w:r>
          </w:p>
        </w:tc>
        <w:tc>
          <w:tcPr>
            <w:tcW w:type="dxa" w:w="1080"/>
          </w:tcPr>
          <w:p>
            <w:r>
              <w:rPr>
                <w:rFonts w:ascii="Calibri" w:hAnsi="Calibri"/>
                <w:sz w:val="22"/>
              </w:rPr>
              <w:t>0%</w:t>
            </w:r>
          </w:p>
        </w:tc>
        <w:tc>
          <w:tcPr>
            <w:tcW w:type="dxa" w:w="1080"/>
          </w:tcPr>
          <w:p>
            <w:r>
              <w:rPr>
                <w:rFonts w:ascii="Calibri" w:hAnsi="Calibri"/>
                <w:sz w:val="22"/>
              </w:rPr>
              <w:t>Implies ~7.6% growth vs. FY 2026 consensus; tracking guidance</w:t>
            </w:r>
          </w:p>
        </w:tc>
      </w:tr>
      <w:tr>
        <w:tc>
          <w:tcPr>
            <w:tcW w:type="dxa" w:w="1080"/>
          </w:tcPr>
          <w:p>
            <w:r>
              <w:rPr>
                <w:rFonts w:ascii="Calibri" w:hAnsi="Calibri"/>
                <w:sz w:val="22"/>
              </w:rPr>
              <w:t>Total Revenue — Q2 2026</w:t>
            </w:r>
          </w:p>
        </w:tc>
        <w:tc>
          <w:tcPr>
            <w:tcW w:type="dxa" w:w="1080"/>
          </w:tcPr>
          <w:p>
            <w:r>
              <w:rPr>
                <w:rFonts w:ascii="Calibri" w:hAnsi="Calibri"/>
                <w:sz w:val="22"/>
              </w:rPr>
              <w:t>$6.502B</w:t>
            </w:r>
          </w:p>
        </w:tc>
        <w:tc>
          <w:tcPr>
            <w:tcW w:type="dxa" w:w="1080"/>
          </w:tcPr>
          <w:p>
            <w:r>
              <w:rPr>
                <w:rFonts w:ascii="Calibri" w:hAnsi="Calibri"/>
                <w:sz w:val="22"/>
              </w:rPr>
              <w:t>$6.381B</w:t>
            </w:r>
          </w:p>
        </w:tc>
        <w:tc>
          <w:tcPr>
            <w:tcW w:type="dxa" w:w="1080"/>
          </w:tcPr>
          <w:p>
            <w:r>
              <w:rPr>
                <w:rFonts w:ascii="Calibri" w:hAnsi="Calibri"/>
                <w:b/>
                <w:color w:val="E5484D"/>
                <w:sz w:val="22"/>
              </w:rPr>
              <w:t>−1.9%</w:t>
            </w:r>
          </w:p>
        </w:tc>
        <w:tc>
          <w:tcPr>
            <w:tcW w:type="dxa" w:w="1080"/>
          </w:tcPr>
          <w:p>
            <w:r>
              <w:rPr>
                <w:rFonts w:ascii="Calibri" w:hAnsi="Calibri"/>
                <w:sz w:val="22"/>
              </w:rPr>
              <w:t>No quarterly guidance provided</w:t>
            </w:r>
          </w:p>
        </w:tc>
        <w:tc>
          <w:tcPr>
            <w:tcW w:type="dxa" w:w="1080"/>
          </w:tcPr>
          <w:p>
            <w:r>
              <w:rPr>
                <w:rFonts w:ascii="Calibri" w:hAnsi="Calibri"/>
                <w:sz w:val="22"/>
              </w:rPr>
              <w:t>No quarterly guidance provided</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Revenue — FY 2026</w:t>
            </w:r>
          </w:p>
        </w:tc>
        <w:tc>
          <w:tcPr>
            <w:tcW w:type="dxa" w:w="1080"/>
          </w:tcPr>
          <w:p>
            <w:r>
              <w:rPr>
                <w:rFonts w:ascii="Calibri" w:hAnsi="Calibri"/>
                <w:sz w:val="22"/>
              </w:rPr>
              <w:t>$26.525B</w:t>
            </w:r>
          </w:p>
        </w:tc>
        <w:tc>
          <w:tcPr>
            <w:tcW w:type="dxa" w:w="1080"/>
          </w:tcPr>
          <w:p>
            <w:r>
              <w:rPr>
                <w:rFonts w:ascii="Calibri" w:hAnsi="Calibri"/>
                <w:sz w:val="22"/>
              </w:rPr>
              <w:t>$26.420B</w:t>
            </w:r>
          </w:p>
        </w:tc>
        <w:tc>
          <w:tcPr>
            <w:tcW w:type="dxa" w:w="1080"/>
          </w:tcPr>
          <w:p>
            <w:r>
              <w:rPr>
                <w:rFonts w:ascii="Calibri" w:hAnsi="Calibri"/>
                <w:sz w:val="22"/>
              </w:rPr>
              <w:t>−0.4%</w:t>
            </w:r>
          </w:p>
        </w:tc>
        <w:tc>
          <w:tcPr>
            <w:tcW w:type="dxa" w:w="1080"/>
          </w:tcPr>
          <w:p>
            <w:r>
              <w:rPr>
                <w:rFonts w:ascii="Calibri" w:hAnsi="Calibri"/>
                <w:sz w:val="22"/>
              </w:rPr>
              <w:t>No FY revenue guidance provided</w:t>
            </w:r>
          </w:p>
        </w:tc>
        <w:tc>
          <w:tcPr>
            <w:tcW w:type="dxa" w:w="1080"/>
          </w:tcPr>
          <w:p>
            <w:r>
              <w:rPr>
                <w:rFonts w:ascii="Calibri" w:hAnsi="Calibri"/>
                <w:sz w:val="22"/>
              </w:rPr>
              <w:t>No FY revenue guidance provided</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CapEx — FY 2026</w:t>
            </w:r>
          </w:p>
        </w:tc>
        <w:tc>
          <w:tcPr>
            <w:tcW w:type="dxa" w:w="1080"/>
          </w:tcPr>
          <w:p>
            <w:r>
              <w:rPr>
                <w:rFonts w:ascii="Calibri" w:hAnsi="Calibri"/>
                <w:sz w:val="22"/>
              </w:rPr>
              <w:t>$12.451B</w:t>
            </w:r>
          </w:p>
        </w:tc>
        <w:tc>
          <w:tcPr>
            <w:tcW w:type="dxa" w:w="1080"/>
          </w:tcPr>
          <w:p>
            <w:r>
              <w:rPr>
                <w:rFonts w:ascii="Calibri" w:hAnsi="Calibri"/>
                <w:sz w:val="22"/>
              </w:rPr>
              <w:t>$12.430B</w:t>
            </w:r>
          </w:p>
        </w:tc>
        <w:tc>
          <w:tcPr>
            <w:tcW w:type="dxa" w:w="1080"/>
          </w:tcPr>
          <w:p>
            <w:r>
              <w:rPr>
                <w:rFonts w:ascii="Calibri" w:hAnsi="Calibri"/>
                <w:sz w:val="22"/>
              </w:rPr>
              <w:t>−0.2%</w:t>
            </w:r>
          </w:p>
        </w:tc>
        <w:tc>
          <w:tcPr>
            <w:tcW w:type="dxa" w:w="1080"/>
          </w:tcPr>
          <w:p>
            <w:r>
              <w:rPr>
                <w:rFonts w:ascii="Calibri" w:hAnsi="Calibri"/>
                <w:sz w:val="22"/>
              </w:rPr>
              <w:t>$73B 5-year plan</w:t>
            </w:r>
          </w:p>
        </w:tc>
        <w:tc>
          <w:tcPr>
            <w:tcW w:type="dxa" w:w="1080"/>
          </w:tcPr>
          <w:p>
            <w:r>
              <w:rPr>
                <w:rFonts w:ascii="Calibri" w:hAnsi="Calibri"/>
                <w:sz w:val="22"/>
              </w:rPr>
              <w:t>$73B 5-year plan (unchanged)</w:t>
            </w:r>
          </w:p>
        </w:tc>
        <w:tc>
          <w:tcPr>
            <w:tcW w:type="dxa" w:w="1080"/>
          </w:tcPr>
          <w:p>
            <w:r>
              <w:rPr>
                <w:rFonts w:ascii="Calibri" w:hAnsi="Calibri"/>
                <w:sz w:val="22"/>
              </w:rPr>
              <w:t>0%</w:t>
            </w:r>
          </w:p>
        </w:tc>
        <w:tc>
          <w:tcPr>
            <w:tcW w:type="dxa" w:w="1080"/>
          </w:tcPr>
          <w:p>
            <w:r>
              <w:rPr>
                <w:rFonts w:ascii="Calibri" w:hAnsi="Calibri"/>
                <w:sz w:val="22"/>
              </w:rPr>
              <w:t>On track; SB 254 Phase 2 may affect rate base treatment of $6B wildfire capex</w:t>
            </w:r>
          </w:p>
        </w:tc>
      </w:tr>
    </w:tbl>
    <w:p>
      <w:r>
        <w:rPr>
          <w:rFonts w:ascii="Calibri" w:hAnsi="Calibri"/>
          <w:i/>
          <w:color w:val="525866"/>
          <w:sz w:val="22"/>
        </w:rPr>
        <w:t>Source: Visible Alpha Consensus and Actuals Data. Post-Q1 baseline uses as-of date April 28, 2026 (5 trading days after April 23 earnings). Current consensus as of July 22, 2026.</w:t>
      </w:r>
    </w:p>
    <w:p>
      <w:r>
        <w:rPr>
          <w:rFonts w:ascii="Calibri" w:hAnsi="Calibri"/>
          <w:b/>
          <w:color w:val="525866"/>
          <w:sz w:val="22"/>
        </w:rPr>
        <w:t xml:space="preserve">Commentary: </w:t>
      </w:r>
      <w:r>
        <w:rPr>
          <w:rFonts w:ascii="Calibri" w:hAnsi="Calibri"/>
          <w:color w:val="525866"/>
          <w:sz w:val="22"/>
        </w:rPr>
        <w:t>The estimate revision picture is benign — both FY 2026 and FY 2027 core EPS estimates have ticked slightly higher since the Q1 print, while Q2 2026 consensus has drifted down modestly, likely reflecting seasonal conservatism. The key watch item for Q2 is whether management provides any updated framing on the SB 254 Phase 2 impact on the capital plan structure, which could be a positive catalyst for FY 2027+ estimate revisions.</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PCG has outperformed both XLU (−0.3%) and the S&amp;P 500 (+5.5%) since the Q1 earnings date, rising +7.6% to $18.11 as of July 22, 2026 — driven primarily by the SB 254 Phase 2 passage (early July) and the S&amp;P credit upgrade to BB+ (April 23), rather than estimate revisions, which have been flat. The stock still trades at a ~50% P/E discount to utility peers, suggesting the re-rating has further to run if investment-grade credit is achieved.</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PCG vs. XLU vs. S&amp;P 500 — Indexed to 100 at Q1 2026 Earnings Date (April 23, 2026). Source: Yahoo Finance / Stock Price Data.</w:t>
      </w:r>
    </w:p>
    <w:p>
      <w:r>
        <w:rPr>
          <w:rFonts w:ascii="Calibri" w:hAnsi="Calibri"/>
          <w:b/>
          <w:color w:val="525866"/>
          <w:sz w:val="22"/>
        </w:rPr>
        <w:t xml:space="preserve">Performance Detail: </w:t>
      </w:r>
      <w:r>
        <w:rPr>
          <w:rFonts w:ascii="Calibri" w:hAnsi="Calibri"/>
          <w:color w:val="525866"/>
          <w:sz w:val="22"/>
        </w:rPr>
        <w:t>PCG opened at $16.83 on April 23 (Q1 earnings day) and closed at $18.11 on July 22, 2026, a gain of +7.6%. XLU declined 0.3% over the same period, and SPY (S&amp;P 500 proxy) gained 5.5%. Key events driving PCG’s outperformance: (1) S&amp;P upgraded PCG/PG&amp;E to BB+ from BB on April 23, citing three consecutive years without a significant wildfire; (2) SB 254 Phase 2 wildfire liability reform was passed by the California Legislature and signed by Governor Newsom in early July, adding $18B to the Wildfire Fund and establishing a framework for utility cost recovery; (3) PCG expanded its credit facility to $6.25B on June 23, extending maturity to June 2029 with collateral release terms tied to investment-grade achievement. The stock pulled back in mid-May (touching $15.85 on May 18) amid broader utility sector weakness before recovering sharply in June–July on the SB 254 catalyst.</w:t>
      </w:r>
    </w:p>
    <w:p>
      <w:r>
        <w:rPr>
          <w:rFonts w:ascii="Calibri" w:hAnsi="Calibri"/>
          <w:i/>
          <w:color w:val="525866"/>
          <w:sz w:val="22"/>
        </w:rPr>
        <w:t>Source: Stock Price Data (Yahoo Finance).</w:t>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passage of SB 254 Phase 2 wildfire liability reform in early July is the most consequential development since the Q1 print — it removes the single largest overhang on PCG’s valuation and credit trajectory, though the $6B capex exclusion from rate base and $300M annual IOU contribution to the Wildfire Fund will require management to clarify the net EPS impact on the Q2 call.</w:t>
      </w:r>
    </w:p>
    <w:p>
      <w:pPr>
        <w:pStyle w:val="ListBullet"/>
        <w:ind w:left="360" w:hanging="360"/>
      </w:pPr>
      <w:r>
        <w:rPr>
          <w:rFonts w:ascii="Calibri" w:hAnsi="Calibri"/>
          <w:b/>
          <w:color w:val="525866"/>
          <w:sz w:val="22"/>
        </w:rPr>
        <w:t>July 2026 — SB 254 Phase 2 Wildfire Liability Reform Signed into Law:</w:t>
      </w:r>
      <w:r>
        <w:rPr>
          <w:rFonts w:ascii="Calibri" w:hAnsi="Calibri"/>
          <w:color w:val="525866"/>
          <w:sz w:val="22"/>
        </w:rPr>
        <w:t xml:space="preserve"> Governor Newsom signed the SB 254 Phase 2 package, adding $18B to the state Wildfire Fund (funded approximately equally by shareholders and ratepayers), removing $6B of utility wildfire mitigation capex from the equity rate base through 2035, establishing a Continuation Account extending ratepayer charges through 2045, and authorizing $300M in annual IOU contributions (PCG’s share: 47.85%). </w:t>
      </w:r>
      <w:r>
        <w:rPr>
          <w:rFonts w:ascii="Calibri" w:hAnsi="Calibri"/>
          <w:i/>
          <w:color w:val="525866"/>
          <w:sz w:val="22"/>
        </w:rPr>
        <w:t>Implication: Materially reduces wildfire tail risk and should accelerate PCG’s path to investment-grade credit; the $6B rate base exclusion is a modest negative to rate base growth but is offset by the reduction in wildfire liability uncertainty.</w:t>
      </w:r>
    </w:p>
    <w:p>
      <w:pPr>
        <w:pStyle w:val="ListBullet"/>
        <w:ind w:left="360" w:hanging="360"/>
      </w:pPr>
      <w:r>
        <w:rPr>
          <w:rFonts w:ascii="Calibri" w:hAnsi="Calibri"/>
          <w:b/>
          <w:color w:val="525866"/>
          <w:sz w:val="22"/>
        </w:rPr>
        <w:t>June 23, 2026 — Credit Facility Expanded to $6.25B:</w:t>
      </w:r>
      <w:r>
        <w:rPr>
          <w:rFonts w:ascii="Calibri" w:hAnsi="Calibri"/>
          <w:color w:val="525866"/>
          <w:sz w:val="22"/>
        </w:rPr>
        <w:t xml:space="preserve"> PG&amp;E amended its revolving credit agreement with JPMorgan Chase and other lenders, extending maturity to June 22, 2029, revising interest and fee terms, and introducing collateral release conditions tied to investment-grade credit ratings and limits on secured debt. </w:t>
      </w:r>
      <w:r>
        <w:rPr>
          <w:rFonts w:ascii="Calibri" w:hAnsi="Calibri"/>
          <w:i/>
          <w:color w:val="525866"/>
          <w:sz w:val="22"/>
        </w:rPr>
        <w:t>Implication: Strengthens liquidity runway and signals confidence in the investment-grade trajectory; collateral release terms are a direct incentive for credit rating improvement.</w:t>
      </w:r>
    </w:p>
    <w:p>
      <w:pPr>
        <w:pStyle w:val="ListBullet"/>
        <w:ind w:left="360" w:hanging="360"/>
      </w:pPr>
      <w:r>
        <w:rPr>
          <w:rFonts w:ascii="Calibri" w:hAnsi="Calibri"/>
          <w:b/>
          <w:color w:val="525866"/>
          <w:sz w:val="22"/>
        </w:rPr>
        <w:t>April 23, 2026 — S&amp;P Upgrades PCG/PG&amp;E to BB+ from BB:</w:t>
      </w:r>
      <w:r>
        <w:rPr>
          <w:rFonts w:ascii="Calibri" w:hAnsi="Calibri"/>
          <w:color w:val="525866"/>
          <w:sz w:val="22"/>
        </w:rPr>
        <w:t xml:space="preserve"> S&amp;P cited three consecutive years without a significant wildfire, ongoing progress in wildfire mitigation, and recommended reforms to the California Wildfire Fund as supporting the upgrade. </w:t>
      </w:r>
      <w:r>
        <w:rPr>
          <w:rFonts w:ascii="Calibri" w:hAnsi="Calibri"/>
          <w:i/>
          <w:color w:val="525866"/>
          <w:sz w:val="22"/>
        </w:rPr>
        <w:t>Implication: One notch below investment grade; further progress on SB 254 Phase 2 and FFO-to-debt metrics could trigger the next upgrade.</w:t>
      </w:r>
    </w:p>
    <w:p>
      <w:pPr>
        <w:pStyle w:val="ListBullet"/>
        <w:ind w:left="360" w:hanging="360"/>
      </w:pPr>
      <w:r>
        <w:rPr>
          <w:rFonts w:ascii="Calibri" w:hAnsi="Calibri"/>
          <w:b/>
          <w:color w:val="525866"/>
          <w:sz w:val="22"/>
        </w:rPr>
        <w:t>April 23, 2026 — Diablo Canyon 20-Year NRC License Extension Received:</w:t>
      </w:r>
      <w:r>
        <w:rPr>
          <w:rFonts w:ascii="Calibri" w:hAnsi="Calibri"/>
          <w:color w:val="525866"/>
          <w:sz w:val="22"/>
        </w:rPr>
        <w:t xml:space="preserve"> The Nuclear Regulatory Commission granted a 20-year license extension for Diablo Canyon, though state legislative action is still required to operate beyond 2030. </w:t>
      </w:r>
      <w:r>
        <w:rPr>
          <w:rFonts w:ascii="Calibri" w:hAnsi="Calibri"/>
          <w:i/>
          <w:color w:val="525866"/>
          <w:sz w:val="22"/>
        </w:rPr>
        <w:t>Implication: Positive for long-term clean energy supply and rate base; state approval remains the gating item.</w:t>
      </w:r>
    </w:p>
    <w:p>
      <w:pPr>
        <w:pStyle w:val="ListBullet"/>
        <w:ind w:left="360" w:hanging="360"/>
      </w:pPr>
      <w:r>
        <w:rPr>
          <w:rFonts w:ascii="Calibri" w:hAnsi="Calibri"/>
          <w:b/>
          <w:color w:val="525866"/>
          <w:sz w:val="22"/>
        </w:rPr>
        <w:t>April 2026 — Data Center Pipeline Grows to 4.6 GW in Final Engineering:</w:t>
      </w:r>
      <w:r>
        <w:rPr>
          <w:rFonts w:ascii="Calibri" w:hAnsi="Calibri"/>
          <w:color w:val="525866"/>
          <w:sz w:val="22"/>
        </w:rPr>
        <w:t xml:space="preserve"> PG&amp;E’s third cluster study showed over 10 GW of new interest spanning Silicon Valley and the Central Valley; 1.8 GW expected online by 2030, projected to reduce customer bills by 1%–2%. </w:t>
      </w:r>
      <w:r>
        <w:rPr>
          <w:rFonts w:ascii="Calibri" w:hAnsi="Calibri"/>
          <w:i/>
          <w:color w:val="525866"/>
          <w:sz w:val="22"/>
        </w:rPr>
        <w:t>Implication: Each GW of rate-reducing load is a structural tailwind for customer affordability and rate base growth; watch for any update on pipeline conversion rates on the Q2 call.</w:t>
      </w:r>
    </w:p>
    <w:p>
      <w:pPr>
        <w:pStyle w:val="ListBullet"/>
        <w:ind w:left="360" w:hanging="360"/>
      </w:pPr>
      <w:r>
        <w:rPr>
          <w:rFonts w:ascii="Calibri" w:hAnsi="Calibri"/>
          <w:b/>
          <w:color w:val="525866"/>
          <w:sz w:val="22"/>
        </w:rPr>
        <w:t>May 12–13, 2026 — California Legislature Holds SB 254 Phase 2 Hearings:</w:t>
      </w:r>
      <w:r>
        <w:rPr>
          <w:rFonts w:ascii="Calibri" w:hAnsi="Calibri"/>
          <w:color w:val="525866"/>
          <w:sz w:val="22"/>
        </w:rPr>
        <w:t xml:space="preserve"> Senate President pro Tempore Limón tasked Senators Becker and Padilla to coordinate the Senate’s response to the CEA report; multiple committees held informational hearings. Consumer groups and wildfire survivors opposed liability caps, while utilities advocated for reform. </w:t>
      </w:r>
      <w:r>
        <w:rPr>
          <w:rFonts w:ascii="Calibri" w:hAnsi="Calibri"/>
          <w:i/>
          <w:color w:val="525866"/>
          <w:sz w:val="22"/>
        </w:rPr>
        <w:t>Implication: Highlighted the political complexity of wildfire reform; the ultimate passage of SB 254 Phase 2 in July resolved this uncertainty.</w:t>
      </w:r>
    </w:p>
    <w:p>
      <w:pPr>
        <w:pStyle w:val="ListBullet"/>
        <w:ind w:left="360" w:hanging="360"/>
      </w:pPr>
      <w:r>
        <w:rPr>
          <w:rFonts w:ascii="Calibri" w:hAnsi="Calibri"/>
          <w:b/>
          <w:color w:val="525866"/>
          <w:sz w:val="22"/>
        </w:rPr>
        <w:t>June 8, 2026 — PG&amp;E Warns of Potential Power Outages Due to Wildfire Risk:</w:t>
      </w:r>
      <w:r>
        <w:rPr>
          <w:rFonts w:ascii="Calibri" w:hAnsi="Calibri"/>
          <w:color w:val="525866"/>
          <w:sz w:val="22"/>
        </w:rPr>
        <w:t xml:space="preserve"> PG&amp;E warned Northern California residents of potential PSPS events citing dry, gusty winds. </w:t>
      </w:r>
      <w:r>
        <w:rPr>
          <w:rFonts w:ascii="Calibri" w:hAnsi="Calibri"/>
          <w:i/>
          <w:color w:val="525866"/>
          <w:sz w:val="22"/>
        </w:rPr>
        <w:t>Implication: A reminder that wildfire season risk remains real; no major ignition events reported through the preview date.</w:t>
      </w:r>
    </w:p>
    <w:p>
      <w:pPr>
        <w:pStyle w:val="ListBullet"/>
        <w:ind w:left="360" w:hanging="360"/>
      </w:pPr>
      <w:r>
        <w:rPr>
          <w:rFonts w:ascii="Calibri" w:hAnsi="Calibri"/>
          <w:b/>
          <w:color w:val="525866"/>
          <w:sz w:val="22"/>
        </w:rPr>
        <w:t>July 7–16, 2026 — Analyst Price Target Increases:</w:t>
      </w:r>
      <w:r>
        <w:rPr>
          <w:rFonts w:ascii="Calibri" w:hAnsi="Calibri"/>
          <w:color w:val="525866"/>
          <w:sz w:val="22"/>
        </w:rPr>
        <w:t xml:space="preserve"> UBS reiterated Buy with $22 PT (July 7); Truist maintained Buy with $23 PT (July 15); Goldman Sachs reaffirmed $23 PT (July 16); J.P. Morgan raised PT to $25 (July 16); BMO Capital holds Street-high $28 PT. All 13 of 18 analysts rate PCG Strong Buy; average PT of $22.44 implies ~30% upside from current price. </w:t>
      </w:r>
      <w:r>
        <w:rPr>
          <w:rFonts w:ascii="Calibri" w:hAnsi="Calibri"/>
          <w:i/>
          <w:color w:val="525866"/>
          <w:sz w:val="22"/>
        </w:rPr>
        <w:t>Implication: Broad analyst consensus that PCG is materially undervalued; the SB 254 passage has not yet been fully reflected in price targets.</w:t>
      </w:r>
    </w:p>
    <w:p>
      <w:pPr>
        <w:pStyle w:val="ListBullet"/>
        <w:ind w:left="360" w:hanging="360"/>
      </w:pPr>
      <w:r>
        <w:rPr>
          <w:rFonts w:ascii="Calibri" w:hAnsi="Calibri"/>
          <w:b/>
          <w:color w:val="525866"/>
          <w:sz w:val="22"/>
        </w:rPr>
        <w:t>April 23, 2026 — Moody’s Revised Outlook to Positive (February 2026) / Fitch Affirms:</w:t>
      </w:r>
      <w:r>
        <w:rPr>
          <w:rFonts w:ascii="Calibri" w:hAnsi="Calibri"/>
          <w:color w:val="525866"/>
          <w:sz w:val="22"/>
        </w:rPr>
        <w:t xml:space="preserve"> Moody’s revised its outlook to positive following Q4 2025 earnings, citing improving financial ratios and wildfire mitigation effectiveness. Fitch affirmed PCG with FFO leverage projected below the 5.5x downgrade threshold in 2026 and 2027. </w:t>
      </w:r>
      <w:r>
        <w:rPr>
          <w:rFonts w:ascii="Calibri" w:hAnsi="Calibri"/>
          <w:i/>
          <w:color w:val="525866"/>
          <w:sz w:val="22"/>
        </w:rPr>
        <w:t>Implication: Three major agencies now have constructive stances; investment-grade achievement at all three agencies would be a significant re-rating catalyst.</w:t>
      </w:r>
    </w:p>
    <w:p>
      <w:r>
        <w:br w:type="page"/>
      </w:r>
    </w:p>
    <w:p>
      <w:pPr>
        <w:pStyle w:val="Heading2"/>
      </w:pPr>
      <w:r>
        <w:rPr>
          <w:rFonts w:ascii="Calibri" w:hAnsi="Calibri"/>
          <w:b/>
          <w:color w:val="3B4259"/>
          <w:sz w:val="28"/>
        </w:rPr>
        <w:t>7. Peer Commentaries — Q2 2026 Read-Throughs</w:t>
      </w:r>
    </w:p>
    <w:p>
      <w:r>
        <w:rPr>
          <w:rFonts w:ascii="Calibri" w:hAnsi="Calibri"/>
          <w:b/>
          <w:color w:val="525866"/>
          <w:sz w:val="22"/>
        </w:rPr>
        <w:t xml:space="preserve">Key Takeaway: </w:t>
      </w:r>
      <w:r>
        <w:rPr>
          <w:rFonts w:ascii="Calibri" w:hAnsi="Calibri"/>
          <w:color w:val="525866"/>
          <w:sz w:val="22"/>
        </w:rPr>
        <w:t>Q1 2026 earnings calls from California utility peer Sempra (SRE) and California-adjacent peer Edison International (EIX) provide the most relevant read-throughs for PCG’s Q2 2026 print — both peers confirmed that SB 254 Phase 2 legislative momentum was building, that the CEA report framed wildfire risk as a ‘whole-of-society problem,’ and that data center load growth and customer affordability remain the dominant sector themes. Non-California peers (DUK, AEP) offer useful context on data center demand and rate base growth but have no direct California read-through.</w:t>
      </w:r>
    </w:p>
    <w:p>
      <w:r>
        <w:rPr>
          <w:rFonts w:ascii="Calibri" w:hAnsi="Calibri"/>
          <w:b/>
          <w:color w:val="525866"/>
          <w:sz w:val="22"/>
        </w:rPr>
        <w:t xml:space="preserve">Note on Peer Selection: </w:t>
      </w:r>
      <w:r>
        <w:rPr>
          <w:rFonts w:ascii="Calibri" w:hAnsi="Calibri"/>
          <w:i/>
          <w:color w:val="525866"/>
          <w:sz w:val="22"/>
        </w:rPr>
        <w:t>Only commentary from Q1 2026 earnings calls (reported April–May 2026) is included below, as these represent management views about the current reporting environment (Q2 2026) and the period after PCG’s last earnings. Prior-quarter results commentary has been excluded per the user’s instruction.</w:t>
      </w:r>
    </w:p>
    <w:p>
      <w:pPr>
        <w:pStyle w:val="Heading3"/>
      </w:pPr>
      <w:r>
        <w:rPr>
          <w:rFonts w:ascii="Calibri" w:hAnsi="Calibri"/>
          <w:b/>
          <w:color w:val="3B4259"/>
          <w:sz w:val="24"/>
        </w:rPr>
        <w:t>7a. Edison International (EIX) — Q1 2026 Earnings Call (April 28, 2026)</w:t>
      </w:r>
    </w:p>
    <w:p>
      <w:r>
        <w:rPr>
          <w:rFonts w:ascii="Calibri" w:hAnsi="Calibri"/>
          <w:b/>
          <w:color w:val="525866"/>
          <w:sz w:val="22"/>
        </w:rPr>
        <w:t xml:space="preserve">Relevance: </w:t>
      </w:r>
      <w:r>
        <w:rPr>
          <w:rFonts w:ascii="Calibri" w:hAnsi="Calibri"/>
          <w:color w:val="525866"/>
          <w:sz w:val="22"/>
        </w:rPr>
        <w:t>EIX/SCE is the most direct California utility peer to PCG, operating under the same CPUC regulatory framework, subject to the same wildfire liability regime, and pursuing similar grid hardening and data center strategies. EIX commentary on SB 254, the CEA report, and California regulatory dynamics is the highest-quality read-through for PCG.</w:t>
      </w:r>
    </w:p>
    <w:p>
      <w:pPr>
        <w:pStyle w:val="ListBullet"/>
        <w:ind w:left="360" w:hanging="360"/>
      </w:pPr>
      <w:r>
        <w:rPr>
          <w:rFonts w:ascii="Calibri" w:hAnsi="Calibri"/>
          <w:b/>
          <w:color w:val="525866"/>
          <w:sz w:val="22"/>
        </w:rPr>
        <w:t>SB 254 Phase 2 / Wildfire Liability Reform — Urgency and Consequences of Inaction:</w:t>
      </w:r>
      <w:r>
        <w:rPr>
          <w:rFonts w:ascii="Calibri" w:hAnsi="Calibri"/>
          <w:color w:val="525866"/>
          <w:sz w:val="22"/>
        </w:rPr>
        <w:t xml:space="preserve"> EIX management stated there is “urgency for legislative action” and that inaction on SB 254 in 2026 could lead to “real dire financial consequences across multiple sectors of the economy,” including potential credit rating impacts for utilities, insurance companies, and the state’s own financing authority. EIX CEO Pedro Pizarro noted that if legislation is not passed, EIX would need to “consider the impact on its cost of capital and potentially adjust its capital allocation.” </w:t>
      </w:r>
      <w:r>
        <w:rPr>
          <w:rFonts w:ascii="Calibri" w:hAnsi="Calibri"/>
          <w:i/>
          <w:color w:val="525866"/>
          <w:sz w:val="22"/>
        </w:rPr>
        <w:t>PCG Read-Through: Directly validates PCG management’s own language about the ‘minimum outcome’ needed from wildfire reform. The passage of SB 254 Phase 2 in July removes this risk for both companies.</w:t>
      </w:r>
    </w:p>
    <w:p>
      <w:pPr>
        <w:pStyle w:val="ListBullet"/>
        <w:ind w:left="360" w:hanging="360"/>
      </w:pPr>
      <w:r>
        <w:rPr>
          <w:rFonts w:ascii="Calibri" w:hAnsi="Calibri"/>
          <w:b/>
          <w:color w:val="525866"/>
          <w:sz w:val="22"/>
        </w:rPr>
        <w:t>CEA Report Framing — ‘Whole-of-Society Problem’:</w:t>
      </w:r>
      <w:r>
        <w:rPr>
          <w:rFonts w:ascii="Calibri" w:hAnsi="Calibri"/>
          <w:color w:val="525866"/>
          <w:sz w:val="22"/>
        </w:rPr>
        <w:t xml:space="preserve"> EIX highlighted that the CEA report “reinforces that addressing California’s growing wildfire risk requires a whole-of-society approach and that the status quo is not working for customers, policyholders or wildfire-impacted communities.” EIX advocated for a return to the investor-owned utility cost-of-service model where investors can recover capital if the utility has been prudent. </w:t>
      </w:r>
      <w:r>
        <w:rPr>
          <w:rFonts w:ascii="Calibri" w:hAnsi="Calibri"/>
          <w:i/>
          <w:color w:val="525866"/>
          <w:sz w:val="22"/>
        </w:rPr>
        <w:t>PCG Read-Through: Consistent with PCG’s own framing; both companies were aligned on the legislative ask, which ultimately succeeded.</w:t>
      </w:r>
    </w:p>
    <w:p>
      <w:pPr>
        <w:pStyle w:val="ListBullet"/>
        <w:ind w:left="360" w:hanging="360"/>
      </w:pPr>
      <w:r>
        <w:rPr>
          <w:rFonts w:ascii="Calibri" w:hAnsi="Calibri"/>
          <w:b/>
          <w:color w:val="525866"/>
          <w:sz w:val="22"/>
        </w:rPr>
        <w:t>Wildfire Mitigation Progress — 93% of Distribution Hardening Complete:</w:t>
      </w:r>
      <w:r>
        <w:rPr>
          <w:rFonts w:ascii="Calibri" w:hAnsi="Calibri"/>
          <w:color w:val="525866"/>
          <w:sz w:val="22"/>
        </w:rPr>
        <w:t xml:space="preserve"> SCE reported that planned physical hardening work on the distribution system in high fire risk areas is approximately 93% complete, with 7,100+ miles of covered conductor and nearly 100 miles of undergrounding deployed. SCE is also using AI models capable of detecting nearly 100 unique object classes and dozens of defect conditions for grid inspections. </w:t>
      </w:r>
      <w:r>
        <w:rPr>
          <w:rFonts w:ascii="Calibri" w:hAnsi="Calibri"/>
          <w:i/>
          <w:color w:val="525866"/>
          <w:sz w:val="22"/>
        </w:rPr>
        <w:t>PCG Read-Through: PCG’s undergrounding program (1,200+ miles completed, 1,900 miles by end of 2027) is at an earlier stage but accelerating; EIX’s near-completion of hardening suggests the sector is making measurable progress that regulators and rating agencies are recognizing.</w:t>
      </w:r>
    </w:p>
    <w:p>
      <w:pPr>
        <w:pStyle w:val="ListBullet"/>
        <w:ind w:left="360" w:hanging="360"/>
      </w:pPr>
      <w:r>
        <w:rPr>
          <w:rFonts w:ascii="Calibri" w:hAnsi="Calibri"/>
          <w:b/>
          <w:color w:val="525866"/>
          <w:sz w:val="22"/>
        </w:rPr>
        <w:t>Regulatory Clarity — ‘Cleaner Regulatory Slate’ in 2026:</w:t>
      </w:r>
      <w:r>
        <w:rPr>
          <w:rFonts w:ascii="Calibri" w:hAnsi="Calibri"/>
          <w:color w:val="525866"/>
          <w:sz w:val="22"/>
        </w:rPr>
        <w:t xml:space="preserve"> EIX noted that 2026 represents a “cleaner regulatory slate” with fewer open proceedings and greater visibility into capital recovery following resolution of the 2025 GRC, cost of capital, and legacy wildfire cost recoveries. EIX’s $38–$41B capital plan through 2030 is driven by essential grid investments. </w:t>
      </w:r>
      <w:r>
        <w:rPr>
          <w:rFonts w:ascii="Calibri" w:hAnsi="Calibri"/>
          <w:i/>
          <w:color w:val="525866"/>
          <w:sz w:val="22"/>
        </w:rPr>
        <w:t>PCG Read-Through: PCG’s GRC evidentiary hearings are underway in 2026; EIX’s constructive regulatory experience is a positive signal for the California regulatory environment broadly.</w:t>
      </w:r>
    </w:p>
    <w:p>
      <w:pPr>
        <w:pStyle w:val="ListBullet"/>
        <w:ind w:left="360" w:hanging="360"/>
      </w:pPr>
      <w:r>
        <w:rPr>
          <w:rFonts w:ascii="Calibri" w:hAnsi="Calibri"/>
          <w:b/>
          <w:color w:val="525866"/>
          <w:sz w:val="22"/>
        </w:rPr>
        <w:t>Customer Affordability — Rates at or Below Inflation Target:</w:t>
      </w:r>
      <w:r>
        <w:rPr>
          <w:rFonts w:ascii="Calibri" w:hAnsi="Calibri"/>
          <w:color w:val="525866"/>
          <w:sz w:val="22"/>
        </w:rPr>
        <w:t xml:space="preserve"> EIX committed to delivering rate increases at or below inflation through 2030, noting that SCE has the “lowest system average rate among the large IOUs in the state.” EIX also noted that wildfire legislation is “inherently an affordability bill.” </w:t>
      </w:r>
      <w:r>
        <w:rPr>
          <w:rFonts w:ascii="Calibri" w:hAnsi="Calibri"/>
          <w:i/>
          <w:color w:val="525866"/>
          <w:sz w:val="22"/>
        </w:rPr>
        <w:t>PCG Read-Through: PCG has been more aggressive on affordability messaging (rates down 23% for most vulnerable customers since 2024), which is a competitive differentiator and supports the regulatory compact.</w:t>
      </w:r>
    </w:p>
    <w:p>
      <w:pPr>
        <w:pStyle w:val="ListBullet"/>
        <w:ind w:left="360" w:hanging="360"/>
      </w:pPr>
      <w:r>
        <w:rPr>
          <w:rFonts w:ascii="Calibri" w:hAnsi="Calibri"/>
          <w:b/>
          <w:color w:val="525866"/>
          <w:sz w:val="22"/>
        </w:rPr>
        <w:t>Financial Guidance — 2026 Core EPS $5.90–$6.20 Reaffirmed; No New Equity Through 2030:</w:t>
      </w:r>
      <w:r>
        <w:rPr>
          <w:rFonts w:ascii="Calibri" w:hAnsi="Calibri"/>
          <w:color w:val="525866"/>
          <w:sz w:val="22"/>
        </w:rPr>
        <w:t xml:space="preserve"> EIX reaffirmed its 2026 core EPS guidance range and long-term 5%–7% EPS growth rate, with no new common equity issuance planned for at least five years. EIX targets 15%–17% FFO-to-debt. </w:t>
      </w:r>
      <w:r>
        <w:rPr>
          <w:rFonts w:ascii="Calibri" w:hAnsi="Calibri"/>
          <w:i/>
          <w:color w:val="525866"/>
          <w:sz w:val="22"/>
        </w:rPr>
        <w:t>PCG Read-Through: Both companies are executing similar no-new-equity, FFO-focused financial strategies; EIX’s guidance reaffirmation is a positive read-through for PCG’s ability to deliver on its own guidance.</w:t>
      </w:r>
    </w:p>
    <w:p>
      <w:pPr>
        <w:pStyle w:val="Heading3"/>
      </w:pPr>
      <w:r>
        <w:rPr>
          <w:rFonts w:ascii="Calibri" w:hAnsi="Calibri"/>
          <w:b/>
          <w:color w:val="3B4259"/>
          <w:sz w:val="24"/>
        </w:rPr>
        <w:t>7b. Sempra Energy (SRE) — Q1 2026 Earnings Call (May 7, 2026)</w:t>
      </w:r>
    </w:p>
    <w:p>
      <w:r>
        <w:rPr>
          <w:rFonts w:ascii="Calibri" w:hAnsi="Calibri"/>
          <w:b/>
          <w:color w:val="525866"/>
          <w:sz w:val="22"/>
        </w:rPr>
        <w:t xml:space="preserve">Relevance: </w:t>
      </w:r>
      <w:r>
        <w:rPr>
          <w:rFonts w:ascii="Calibri" w:hAnsi="Calibri"/>
          <w:color w:val="525866"/>
          <w:sz w:val="22"/>
        </w:rPr>
        <w:t>Sempra’s California utility subsidiary SDG&amp;E operates under the same CPUC and wildfire liability framework as PCG. SRE CEO Jeff Martin’s personal involvement in SB 254 Phase 2 negotiations and SDG&amp;E’s regulatory filings provide a useful read-through on California utility regulatory dynamics and wildfire reform progress.</w:t>
      </w:r>
    </w:p>
    <w:p>
      <w:pPr>
        <w:pStyle w:val="ListBullet"/>
        <w:ind w:left="360" w:hanging="360"/>
      </w:pPr>
      <w:r>
        <w:rPr>
          <w:rFonts w:ascii="Calibri" w:hAnsi="Calibri"/>
          <w:b/>
          <w:color w:val="525866"/>
          <w:sz w:val="22"/>
        </w:rPr>
        <w:t>SB 254 Phase 2 — ‘Reasonable Confidence’ of Passage in 2026 Legislative Session:</w:t>
      </w:r>
      <w:r>
        <w:rPr>
          <w:rFonts w:ascii="Calibri" w:hAnsi="Calibri"/>
          <w:color w:val="525866"/>
          <w:sz w:val="22"/>
        </w:rPr>
        <w:t xml:space="preserve"> SRE CEO Jeff Martin expressed “reasonable confidence that we’ll get something done in this legislative session” and stated it is not expected to span multiple years. Martin noted that “the right people that are supposed to be addressing the issues are around the table” and that the governor and legislative leadership are “moving.” </w:t>
      </w:r>
      <w:r>
        <w:rPr>
          <w:rFonts w:ascii="Calibri" w:hAnsi="Calibri"/>
          <w:i/>
          <w:color w:val="525866"/>
          <w:sz w:val="22"/>
        </w:rPr>
        <w:t>PCG Read-Through: This commentary, made in May 2026, proved prescient — SB 254 Phase 2 was indeed passed and signed in July 2026. SRE’s confidence level was a leading indicator of the legislative outcome.</w:t>
      </w:r>
    </w:p>
    <w:p>
      <w:pPr>
        <w:pStyle w:val="ListBullet"/>
        <w:ind w:left="360" w:hanging="360"/>
      </w:pPr>
      <w:r>
        <w:rPr>
          <w:rFonts w:ascii="Calibri" w:hAnsi="Calibri"/>
          <w:b/>
          <w:color w:val="525866"/>
          <w:sz w:val="22"/>
        </w:rPr>
        <w:t>CEA Report — Three Key Takeaways from SDG&amp;E’s Caroline Winn:</w:t>
      </w:r>
      <w:r>
        <w:rPr>
          <w:rFonts w:ascii="Calibri" w:hAnsi="Calibri"/>
          <w:color w:val="525866"/>
          <w:sz w:val="22"/>
        </w:rPr>
        <w:t xml:space="preserve"> SDG&amp;E EVP Caroline Winn highlighted: (1) wildfire risk is appropriately framed as a ‘whole of society problem, not just the utility problem’; (2) ‘the current framework isn’t durable nor adequate’; and (3) there is a ‘significant cost of inaction.’ Sempra’s priorities for the session were to ‘put wildfire victims first,’ ‘implement a more coordinated statewide approach to risk mitigation,’ and ‘make meaningful progress within this legislative session.’ </w:t>
      </w:r>
      <w:r>
        <w:rPr>
          <w:rFonts w:ascii="Calibri" w:hAnsi="Calibri"/>
          <w:i/>
          <w:color w:val="525866"/>
          <w:sz w:val="22"/>
        </w:rPr>
        <w:t>PCG Read-Through: Virtually identical framing to PCG’s own Q1 2026 commentary; the alignment across all three California IOUs on the legislative ask strengthened the lobbying position and contributed to the successful passage.</w:t>
      </w:r>
    </w:p>
    <w:p>
      <w:pPr>
        <w:pStyle w:val="ListBullet"/>
        <w:ind w:left="360" w:hanging="360"/>
      </w:pPr>
      <w:r>
        <w:rPr>
          <w:rFonts w:ascii="Calibri" w:hAnsi="Calibri"/>
          <w:b/>
          <w:color w:val="525866"/>
          <w:sz w:val="22"/>
        </w:rPr>
        <w:t>California Regulatory Environment — SDG&amp;E TO6 FERC Settlement Filed:</w:t>
      </w:r>
      <w:r>
        <w:rPr>
          <w:rFonts w:ascii="Calibri" w:hAnsi="Calibri"/>
          <w:color w:val="525866"/>
          <w:sz w:val="22"/>
        </w:rPr>
        <w:t xml:space="preserve"> SDG&amp;E filed an uncontested offer of settlement in its TO6 proceeding with FERC, which would increase SDG&amp;E’s authorized base ROE to 10.28% with a 54% equity capital structure, retroactive to June 1, 2025, pending FERC approval expected in H2 2026. SDG&amp;E is also preparing its next GRC filing (expected Q2 2026). </w:t>
      </w:r>
      <w:r>
        <w:rPr>
          <w:rFonts w:ascii="Calibri" w:hAnsi="Calibri"/>
          <w:i/>
          <w:color w:val="525866"/>
          <w:sz w:val="22"/>
        </w:rPr>
        <w:t>PCG Read-Through: A constructive FERC ROE outcome for SDG&amp;E would be a positive signal for the California utility regulatory environment broadly; PCG’s own cost of capital proceeding and GRC evidentiary hearings are ongoing.</w:t>
      </w:r>
    </w:p>
    <w:p>
      <w:pPr>
        <w:pStyle w:val="ListBullet"/>
        <w:ind w:left="360" w:hanging="360"/>
      </w:pPr>
      <w:r>
        <w:rPr>
          <w:rFonts w:ascii="Calibri" w:hAnsi="Calibri"/>
          <w:b/>
          <w:color w:val="525866"/>
          <w:sz w:val="22"/>
        </w:rPr>
        <w:t>Customer Affordability — Winter Storm Fern Demonstrates Value of Gas Storage:</w:t>
      </w:r>
      <w:r>
        <w:rPr>
          <w:rFonts w:ascii="Calibri" w:hAnsi="Calibri"/>
          <w:color w:val="525866"/>
          <w:sz w:val="22"/>
        </w:rPr>
        <w:t xml:space="preserve"> SoCalGas’ natural gas storage facilities helped customers avoid approximately $120M in higher potential energy costs during January’s Winter Storm Fern. SDG&amp;E is focused on “making critical investments while also improving the affordability of our services.” </w:t>
      </w:r>
      <w:r>
        <w:rPr>
          <w:rFonts w:ascii="Calibri" w:hAnsi="Calibri"/>
          <w:i/>
          <w:color w:val="525866"/>
          <w:sz w:val="22"/>
        </w:rPr>
        <w:t>PCG Read-Through: Affordability is the dominant regulatory narrative across all California utilities; PCG’s ‘path to flat’ messaging (0%–3% bill growth) is the most aggressive affordability commitment in the sector.</w:t>
      </w:r>
    </w:p>
    <w:p>
      <w:pPr>
        <w:pStyle w:val="ListBullet"/>
        <w:ind w:left="360" w:hanging="360"/>
      </w:pPr>
      <w:r>
        <w:rPr>
          <w:rFonts w:ascii="Calibri" w:hAnsi="Calibri"/>
          <w:b/>
          <w:color w:val="525866"/>
          <w:sz w:val="22"/>
        </w:rPr>
        <w:t>Financial Guidance — FY 2026 Adjusted EPS $4.80–$5.30 Affirmed; Oncor Growing at 30% Annually:</w:t>
      </w:r>
      <w:r>
        <w:rPr>
          <w:rFonts w:ascii="Calibri" w:hAnsi="Calibri"/>
          <w:color w:val="525866"/>
          <w:sz w:val="22"/>
        </w:rPr>
        <w:t xml:space="preserve"> Sempra affirmed its FY 2026 adjusted EPS guidance of $4.80–$5.30 and FY 2027 guidance of $5.10–$5.70, with long-term EPS growth of 7%–9%. Oncor (Texas) is growing earnings at 30% annually through the midpoint of 2027 guidance, with 289 GW of large load in the queue (271 GW data center-related). </w:t>
      </w:r>
      <w:r>
        <w:rPr>
          <w:rFonts w:ascii="Calibri" w:hAnsi="Calibri"/>
          <w:i/>
          <w:color w:val="525866"/>
          <w:sz w:val="22"/>
        </w:rPr>
        <w:t>PCG Read-Through: SRE’s strong guidance reaffirmation and Oncor’s data center momentum are positive sector signals; PCG’s own data center pipeline (4.6 GW in final engineering) is a California-specific version of the same theme.</w:t>
      </w:r>
    </w:p>
    <w:p>
      <w:pPr>
        <w:pStyle w:val="Heading3"/>
      </w:pPr>
      <w:r>
        <w:rPr>
          <w:rFonts w:ascii="Calibri" w:hAnsi="Calibri"/>
          <w:b/>
          <w:color w:val="3B4259"/>
          <w:sz w:val="24"/>
        </w:rPr>
        <w:t>7c. Duke Energy (DUK) &amp; AEP — Q1 2026 Earnings Calls (May 5–7, 2026)</w:t>
      </w:r>
    </w:p>
    <w:p>
      <w:r>
        <w:rPr>
          <w:rFonts w:ascii="Calibri" w:hAnsi="Calibri"/>
          <w:b/>
          <w:color w:val="525866"/>
          <w:sz w:val="22"/>
        </w:rPr>
        <w:t xml:space="preserve">Relevance: </w:t>
      </w:r>
      <w:r>
        <w:rPr>
          <w:rFonts w:ascii="Calibri" w:hAnsi="Calibri"/>
          <w:color w:val="525866"/>
          <w:sz w:val="22"/>
        </w:rPr>
        <w:t>DUK and AEP are non-California peers with no direct wildfire or CPUC read-through, but their commentary on data center load growth, rate base expansion, and utility sector financial discipline provides useful sector context for PCG’s Q2 2026 setup.</w:t>
      </w:r>
    </w:p>
    <w:p>
      <w:pPr>
        <w:pStyle w:val="ListBullet"/>
        <w:ind w:left="360" w:hanging="360"/>
      </w:pPr>
      <w:r>
        <w:rPr>
          <w:rFonts w:ascii="Calibri" w:hAnsi="Calibri"/>
          <w:b/>
          <w:color w:val="525866"/>
          <w:sz w:val="22"/>
        </w:rPr>
        <w:t>Data Center Demand Acceleration — DUK Signed 2.7 GW of New ESAs in Q1 2026:</w:t>
      </w:r>
      <w:r>
        <w:rPr>
          <w:rFonts w:ascii="Calibri" w:hAnsi="Calibri"/>
          <w:color w:val="525866"/>
          <w:sz w:val="22"/>
        </w:rPr>
        <w:t xml:space="preserve"> Duke Energy signed an additional 2.7 GW of Electric Service Agreements with data center customers in Q1 2026, bringing total executed agreements to approximately 7.6 GW. Nearly two-thirds are already under construction. DUK’s late-stage, high-confidence pipeline stands at 15.4 GW. </w:t>
      </w:r>
      <w:r>
        <w:rPr>
          <w:rFonts w:ascii="Calibri" w:hAnsi="Calibri"/>
          <w:i/>
          <w:color w:val="525866"/>
          <w:sz w:val="22"/>
        </w:rPr>
        <w:t>PCG Read-Through: Confirms that data center demand is accelerating across the sector; PCG’s 4.6 GW in final engineering and 10+ GW of new cluster study interest is consistent with the national trend. DUK’s experience with ESA structures and ‘speed to power’ infrastructure may inform PCG’s own interconnection approach.</w:t>
      </w:r>
    </w:p>
    <w:p>
      <w:pPr>
        <w:pStyle w:val="ListBullet"/>
        <w:ind w:left="360" w:hanging="360"/>
      </w:pPr>
      <w:r>
        <w:rPr>
          <w:rFonts w:ascii="Calibri" w:hAnsi="Calibri"/>
          <w:b/>
          <w:color w:val="525866"/>
          <w:sz w:val="22"/>
        </w:rPr>
        <w:t>Data Center Demand — AEP Contracted 7 GW of New Load in Q1 2026; Total 63 GW by 2030:</w:t>
      </w:r>
      <w:r>
        <w:rPr>
          <w:rFonts w:ascii="Calibri" w:hAnsi="Calibri"/>
          <w:color w:val="525866"/>
          <w:sz w:val="22"/>
        </w:rPr>
        <w:t xml:space="preserve"> AEP contracted an additional 7 GW of load in Q1 2026, primarily from AEP Texas and AEP Ohio, bringing its incremental contracted total to 63 GW expected by 2030. Nearly 90% is attributed to data centers and hyperscalers. AEP increased its 5-year capital plan to $78B (from $72B), driving an 11% rate base CAGR. </w:t>
      </w:r>
      <w:r>
        <w:rPr>
          <w:rFonts w:ascii="Calibri" w:hAnsi="Calibri"/>
          <w:i/>
          <w:color w:val="525866"/>
          <w:sz w:val="22"/>
        </w:rPr>
        <w:t>PCG Read-Through: AEP’s capital plan expansion driven by data center demand is a sector-wide validation of PCG’s own data center strategy; PCG’s commitment to only adding ‘definitively rate-reducing load’ is a more conservative approach than AEP’s, but the underlying demand signal is consistent.</w:t>
      </w:r>
    </w:p>
    <w:p>
      <w:pPr>
        <w:pStyle w:val="ListBullet"/>
        <w:ind w:left="360" w:hanging="360"/>
      </w:pPr>
      <w:r>
        <w:rPr>
          <w:rFonts w:ascii="Calibri" w:hAnsi="Calibri"/>
          <w:b/>
          <w:color w:val="525866"/>
          <w:sz w:val="22"/>
        </w:rPr>
        <w:t>Large Load Tariff Structures — AEP Secured Approvals in Ohio, Indiana, Kentucky, West Virginia:</w:t>
      </w:r>
      <w:r>
        <w:rPr>
          <w:rFonts w:ascii="Calibri" w:hAnsi="Calibri"/>
          <w:color w:val="525866"/>
          <w:sz w:val="22"/>
        </w:rPr>
        <w:t xml:space="preserve"> AEP secured commission approvals for new data center tariffs in multiple states, with take-or-pay ESAs and minimum demand charges protecting existing customers. AEP estimates $16B in cost offsets for existing customers from large load contracts over the life of agreements. </w:t>
      </w:r>
      <w:r>
        <w:rPr>
          <w:rFonts w:ascii="Calibri" w:hAnsi="Calibri"/>
          <w:i/>
          <w:color w:val="525866"/>
          <w:sz w:val="22"/>
        </w:rPr>
        <w:t>PCG Read-Through: PCG’s ‘rate-reducing load’ threshold is the California equivalent of AEP’s large load tariff protections; both approaches are designed to ensure data centers benefit all customers rather than shifting costs.</w:t>
      </w:r>
    </w:p>
    <w:p>
      <w:pPr>
        <w:pStyle w:val="ListBullet"/>
        <w:ind w:left="360" w:hanging="360"/>
      </w:pPr>
      <w:r>
        <w:rPr>
          <w:rFonts w:ascii="Calibri" w:hAnsi="Calibri"/>
          <w:b/>
          <w:color w:val="525866"/>
          <w:sz w:val="22"/>
        </w:rPr>
        <w:t>Utility Sector Financial Discipline — Both DUK and AEP Reaffirmed 2026 Guidance:</w:t>
      </w:r>
      <w:r>
        <w:rPr>
          <w:rFonts w:ascii="Calibri" w:hAnsi="Calibri"/>
          <w:color w:val="525866"/>
          <w:sz w:val="22"/>
        </w:rPr>
        <w:t xml:space="preserve"> DUK reaffirmed 2026 guidance of $6.55–$6.80 and 5%–7% long-term EPS growth; AEP reaffirmed 2026 guidance of $6.15–$6.45 and 7%–9% long-term growth (now &gt;9% with capital plan expansion). Both companies are executing large capital plans without significant equity dilution. </w:t>
      </w:r>
      <w:r>
        <w:rPr>
          <w:rFonts w:ascii="Calibri" w:hAnsi="Calibri"/>
          <w:i/>
          <w:color w:val="525866"/>
          <w:sz w:val="22"/>
        </w:rPr>
        <w:t>PCG Read-Through: Broad utility sector guidance reaffirmation is a positive backdrop for PCG’s own Q2 print; the sector is executing well on capital plans and earnings growth, which supports the utility sector multiple.</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Insider activity since the Q1 earnings date is dominated by routine annual director equity grants (May 21, 2026) and 10b5-1 planned sales — there are no discretionary open-market buys or unusual clustered sells that would signal a change in insider conviction. The two open-market sales (Peterman and Cooper) are both flagged as 10b5-1 plan transactions, reducing their informational value.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 / Value</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Glickman, Jason M</w:t>
            </w:r>
          </w:p>
        </w:tc>
        <w:tc>
          <w:tcPr>
            <w:tcW w:type="dxa" w:w="1440"/>
          </w:tcPr>
          <w:p>
            <w:r>
              <w:rPr>
                <w:rFonts w:ascii="Calibri" w:hAnsi="Calibri"/>
                <w:sz w:val="22"/>
              </w:rPr>
              <w:t>EVP, Strategy and Growth</w:t>
            </w:r>
          </w:p>
        </w:tc>
        <w:tc>
          <w:tcPr>
            <w:tcW w:type="dxa" w:w="1440"/>
          </w:tcPr>
          <w:p>
            <w:r>
              <w:rPr>
                <w:rFonts w:ascii="Calibri" w:hAnsi="Calibri"/>
                <w:sz w:val="22"/>
              </w:rPr>
              <w:t>Open Market Sale</w:t>
            </w:r>
          </w:p>
        </w:tc>
        <w:tc>
          <w:tcPr>
            <w:tcW w:type="dxa" w:w="1440"/>
          </w:tcPr>
          <w:p>
            <w:r>
              <w:rPr>
                <w:rFonts w:ascii="Calibri" w:hAnsi="Calibri"/>
                <w:sz w:val="22"/>
              </w:rPr>
              <w:t>47,264 shares</w:t>
            </w:r>
          </w:p>
        </w:tc>
        <w:tc>
          <w:tcPr>
            <w:tcW w:type="dxa" w:w="1440"/>
          </w:tcPr>
          <w:p>
            <w:r>
              <w:rPr>
                <w:rFonts w:ascii="Calibri" w:hAnsi="Calibri"/>
                <w:sz w:val="22"/>
              </w:rPr>
              <w:t>Apr 28, 2026</w:t>
            </w:r>
          </w:p>
        </w:tc>
        <w:tc>
          <w:tcPr>
            <w:tcW w:type="dxa" w:w="1440"/>
          </w:tcPr>
          <w:p>
            <w:r>
              <w:rPr>
                <w:rFonts w:ascii="Calibri" w:hAnsi="Calibri"/>
                <w:sz w:val="22"/>
              </w:rPr>
              <w:t>Not flagged as 10b5-1; discretionary sale shortly after Q1 earnings beat</w:t>
            </w:r>
          </w:p>
        </w:tc>
      </w:tr>
      <w:tr>
        <w:tc>
          <w:tcPr>
            <w:tcW w:type="dxa" w:w="1440"/>
          </w:tcPr>
          <w:p>
            <w:r>
              <w:rPr>
                <w:rFonts w:ascii="Calibri" w:hAnsi="Calibri"/>
                <w:sz w:val="22"/>
              </w:rPr>
              <w:t>Poppe, Patricia K</w:t>
            </w:r>
          </w:p>
        </w:tc>
        <w:tc>
          <w:tcPr>
            <w:tcW w:type="dxa" w:w="1440"/>
          </w:tcPr>
          <w:p>
            <w:r>
              <w:rPr>
                <w:rFonts w:ascii="Calibri" w:hAnsi="Calibri"/>
                <w:sz w:val="22"/>
              </w:rPr>
              <w:t>CEO &amp; Director</w:t>
            </w:r>
          </w:p>
        </w:tc>
        <w:tc>
          <w:tcPr>
            <w:tcW w:type="dxa" w:w="1440"/>
          </w:tcPr>
          <w:p>
            <w:r>
              <w:rPr>
                <w:rFonts w:ascii="Calibri" w:hAnsi="Calibri"/>
                <w:sz w:val="22"/>
              </w:rPr>
              <w:t>Open Market Sale (via Trust)</w:t>
            </w:r>
          </w:p>
        </w:tc>
        <w:tc>
          <w:tcPr>
            <w:tcW w:type="dxa" w:w="1440"/>
          </w:tcPr>
          <w:p>
            <w:r>
              <w:rPr>
                <w:rFonts w:ascii="Calibri" w:hAnsi="Calibri"/>
                <w:sz w:val="22"/>
              </w:rPr>
              <w:t>31,250 shares</w:t>
            </w:r>
          </w:p>
        </w:tc>
        <w:tc>
          <w:tcPr>
            <w:tcW w:type="dxa" w:w="1440"/>
          </w:tcPr>
          <w:p>
            <w:r>
              <w:rPr>
                <w:rFonts w:ascii="Calibri" w:hAnsi="Calibri"/>
                <w:sz w:val="22"/>
              </w:rPr>
              <w:t>Apr 28, 2026</w:t>
            </w:r>
          </w:p>
        </w:tc>
        <w:tc>
          <w:tcPr>
            <w:tcW w:type="dxa" w:w="1440"/>
          </w:tcPr>
          <w:p>
            <w:r>
              <w:rPr>
                <w:rFonts w:ascii="Calibri" w:hAnsi="Calibri"/>
                <w:sz w:val="22"/>
              </w:rPr>
              <w:t>10b5-1 planned sale; held by Patricia K. Poppe Revocable Living Trust; routine</w:t>
            </w:r>
          </w:p>
        </w:tc>
      </w:tr>
      <w:tr>
        <w:tc>
          <w:tcPr>
            <w:tcW w:type="dxa" w:w="1440"/>
          </w:tcPr>
          <w:p>
            <w:r>
              <w:rPr>
                <w:rFonts w:ascii="Calibri" w:hAnsi="Calibri"/>
                <w:sz w:val="22"/>
              </w:rPr>
              <w:t>Multiple Directors (10 individuals)</w:t>
            </w:r>
          </w:p>
        </w:tc>
        <w:tc>
          <w:tcPr>
            <w:tcW w:type="dxa" w:w="1440"/>
          </w:tcPr>
          <w:p>
            <w:r>
              <w:rPr>
                <w:rFonts w:ascii="Calibri" w:hAnsi="Calibri"/>
                <w:sz w:val="22"/>
              </w:rPr>
              <w:t>Board of Directors</w:t>
            </w:r>
          </w:p>
        </w:tc>
        <w:tc>
          <w:tcPr>
            <w:tcW w:type="dxa" w:w="1440"/>
          </w:tcPr>
          <w:p>
            <w:r>
              <w:rPr>
                <w:rFonts w:ascii="Calibri" w:hAnsi="Calibri"/>
                <w:sz w:val="22"/>
              </w:rPr>
              <w:t>Annual Equity Grant (Acquisition)</w:t>
            </w:r>
          </w:p>
        </w:tc>
        <w:tc>
          <w:tcPr>
            <w:tcW w:type="dxa" w:w="1440"/>
          </w:tcPr>
          <w:p>
            <w:r>
              <w:rPr>
                <w:rFonts w:ascii="Calibri" w:hAnsi="Calibri"/>
                <w:sz w:val="22"/>
              </w:rPr>
              <w:t>~10,948 shares each</w:t>
            </w:r>
          </w:p>
        </w:tc>
        <w:tc>
          <w:tcPr>
            <w:tcW w:type="dxa" w:w="1440"/>
          </w:tcPr>
          <w:p>
            <w:r>
              <w:rPr>
                <w:rFonts w:ascii="Calibri" w:hAnsi="Calibri"/>
                <w:sz w:val="22"/>
              </w:rPr>
              <w:t>May 21, 2026</w:t>
            </w:r>
          </w:p>
        </w:tc>
        <w:tc>
          <w:tcPr>
            <w:tcW w:type="dxa" w:w="1440"/>
          </w:tcPr>
          <w:p>
            <w:r>
              <w:rPr>
                <w:rFonts w:ascii="Calibri" w:hAnsi="Calibri"/>
                <w:sz w:val="22"/>
              </w:rPr>
              <w:t>Routine annual director equity compensation grants; no informational value</w:t>
            </w:r>
          </w:p>
        </w:tc>
      </w:tr>
      <w:tr>
        <w:tc>
          <w:tcPr>
            <w:tcW w:type="dxa" w:w="1440"/>
          </w:tcPr>
          <w:p>
            <w:r>
              <w:rPr>
                <w:rFonts w:ascii="Calibri" w:hAnsi="Calibri"/>
                <w:sz w:val="22"/>
              </w:rPr>
              <w:t>Cooper, Kerry Whorton</w:t>
            </w:r>
          </w:p>
        </w:tc>
        <w:tc>
          <w:tcPr>
            <w:tcW w:type="dxa" w:w="1440"/>
          </w:tcPr>
          <w:p>
            <w:r>
              <w:rPr>
                <w:rFonts w:ascii="Calibri" w:hAnsi="Calibri"/>
                <w:sz w:val="22"/>
              </w:rPr>
              <w:t>Director</w:t>
            </w:r>
          </w:p>
        </w:tc>
        <w:tc>
          <w:tcPr>
            <w:tcW w:type="dxa" w:w="1440"/>
          </w:tcPr>
          <w:p>
            <w:r>
              <w:rPr>
                <w:rFonts w:ascii="Calibri" w:hAnsi="Calibri"/>
                <w:sz w:val="22"/>
              </w:rPr>
              <w:t>Open Market Sale</w:t>
            </w:r>
          </w:p>
        </w:tc>
        <w:tc>
          <w:tcPr>
            <w:tcW w:type="dxa" w:w="1440"/>
          </w:tcPr>
          <w:p>
            <w:r>
              <w:rPr>
                <w:rFonts w:ascii="Calibri" w:hAnsi="Calibri"/>
                <w:sz w:val="22"/>
              </w:rPr>
              <w:t>1,250 shares</w:t>
            </w:r>
          </w:p>
        </w:tc>
        <w:tc>
          <w:tcPr>
            <w:tcW w:type="dxa" w:w="1440"/>
          </w:tcPr>
          <w:p>
            <w:r>
              <w:rPr>
                <w:rFonts w:ascii="Calibri" w:hAnsi="Calibri"/>
                <w:sz w:val="22"/>
              </w:rPr>
              <w:t>Jun 2, 2026</w:t>
            </w:r>
          </w:p>
        </w:tc>
        <w:tc>
          <w:tcPr>
            <w:tcW w:type="dxa" w:w="1440"/>
          </w:tcPr>
          <w:p>
            <w:r>
              <w:rPr>
                <w:rFonts w:ascii="Calibri" w:hAnsi="Calibri"/>
                <w:sz w:val="22"/>
              </w:rPr>
              <w:t>10b5-1 planned sale; small size; routine</w:t>
            </w:r>
          </w:p>
        </w:tc>
      </w:tr>
      <w:tr>
        <w:tc>
          <w:tcPr>
            <w:tcW w:type="dxa" w:w="1440"/>
          </w:tcPr>
          <w:p>
            <w:r>
              <w:rPr>
                <w:rFonts w:ascii="Calibri" w:hAnsi="Calibri"/>
                <w:sz w:val="22"/>
              </w:rPr>
              <w:t>Peterman, Carla J</w:t>
            </w:r>
          </w:p>
        </w:tc>
        <w:tc>
          <w:tcPr>
            <w:tcW w:type="dxa" w:w="1440"/>
          </w:tcPr>
          <w:p>
            <w:r>
              <w:rPr>
                <w:rFonts w:ascii="Calibri" w:hAnsi="Calibri"/>
                <w:sz w:val="22"/>
              </w:rPr>
              <w:t>President, EVP Customer &amp; Corporate Affairs</w:t>
            </w:r>
          </w:p>
        </w:tc>
        <w:tc>
          <w:tcPr>
            <w:tcW w:type="dxa" w:w="1440"/>
          </w:tcPr>
          <w:p>
            <w:r>
              <w:rPr>
                <w:rFonts w:ascii="Calibri" w:hAnsi="Calibri"/>
                <w:sz w:val="22"/>
              </w:rPr>
              <w:t>Open Market Sale</w:t>
            </w:r>
          </w:p>
        </w:tc>
        <w:tc>
          <w:tcPr>
            <w:tcW w:type="dxa" w:w="1440"/>
          </w:tcPr>
          <w:p>
            <w:r>
              <w:rPr>
                <w:rFonts w:ascii="Calibri" w:hAnsi="Calibri"/>
                <w:sz w:val="22"/>
              </w:rPr>
              <w:t>31,786 shares</w:t>
            </w:r>
          </w:p>
        </w:tc>
        <w:tc>
          <w:tcPr>
            <w:tcW w:type="dxa" w:w="1440"/>
          </w:tcPr>
          <w:p>
            <w:r>
              <w:rPr>
                <w:rFonts w:ascii="Calibri" w:hAnsi="Calibri"/>
                <w:sz w:val="22"/>
              </w:rPr>
              <w:t>Jun 15, 2026</w:t>
            </w:r>
          </w:p>
        </w:tc>
        <w:tc>
          <w:tcPr>
            <w:tcW w:type="dxa" w:w="1440"/>
          </w:tcPr>
          <w:p>
            <w:r>
              <w:rPr>
                <w:rFonts w:ascii="Calibri" w:hAnsi="Calibri"/>
                <w:sz w:val="22"/>
              </w:rPr>
              <w:t>10b5-1 planned sale; largest sale by share count in the period but pre-scheduled</w:t>
            </w:r>
          </w:p>
        </w:tc>
      </w:tr>
      <w:tr>
        <w:tc>
          <w:tcPr>
            <w:tcW w:type="dxa" w:w="1440"/>
          </w:tcPr>
          <w:p>
            <w:r>
              <w:rPr>
                <w:rFonts w:ascii="Calibri" w:hAnsi="Calibri"/>
                <w:sz w:val="22"/>
              </w:rPr>
              <w:t>Vallejo, Alejandro T</w:t>
            </w:r>
          </w:p>
        </w:tc>
        <w:tc>
          <w:tcPr>
            <w:tcW w:type="dxa" w:w="1440"/>
          </w:tcPr>
          <w:p>
            <w:r>
              <w:rPr>
                <w:rFonts w:ascii="Calibri" w:hAnsi="Calibri"/>
                <w:sz w:val="22"/>
              </w:rPr>
              <w:t>EVP, Chief People Officer</w:t>
            </w:r>
          </w:p>
        </w:tc>
        <w:tc>
          <w:tcPr>
            <w:tcW w:type="dxa" w:w="1440"/>
          </w:tcPr>
          <w:p>
            <w:r>
              <w:rPr>
                <w:rFonts w:ascii="Calibri" w:hAnsi="Calibri"/>
                <w:sz w:val="22"/>
              </w:rPr>
              <w:t>Phantom Stock Acquisition</w:t>
            </w:r>
          </w:p>
        </w:tc>
        <w:tc>
          <w:tcPr>
            <w:tcW w:type="dxa" w:w="1440"/>
          </w:tcPr>
          <w:p>
            <w:r>
              <w:rPr>
                <w:rFonts w:ascii="Calibri" w:hAnsi="Calibri"/>
                <w:sz w:val="22"/>
              </w:rPr>
              <w:t>~441–449 shares (monthly)</w:t>
            </w:r>
          </w:p>
        </w:tc>
        <w:tc>
          <w:tcPr>
            <w:tcW w:type="dxa" w:w="1440"/>
          </w:tcPr>
          <w:p>
            <w:r>
              <w:rPr>
                <w:rFonts w:ascii="Calibri" w:hAnsi="Calibri"/>
                <w:sz w:val="22"/>
              </w:rPr>
              <w:t>Apr 23, May 22, Jun 23, 2026</w:t>
            </w:r>
          </w:p>
        </w:tc>
        <w:tc>
          <w:tcPr>
            <w:tcW w:type="dxa" w:w="1440"/>
          </w:tcPr>
          <w:p>
            <w:r>
              <w:rPr>
                <w:rFonts w:ascii="Calibri" w:hAnsi="Calibri"/>
                <w:sz w:val="22"/>
              </w:rPr>
              <w:t>Routine monthly phantom stock accruals; deferred compensation; no informational value</w:t>
            </w:r>
          </w:p>
        </w:tc>
      </w:tr>
    </w:tbl>
    <w:p>
      <w:r>
        <w:rPr>
          <w:rFonts w:ascii="Calibri" w:hAnsi="Calibri"/>
          <w:i/>
          <w:color w:val="525866"/>
          <w:sz w:val="22"/>
        </w:rPr>
        <w:t>Source: Insider Transaction Data (SEC Form 4 filings). Period covered: April 23, 2026 – July 22, 2026. Only open-market buys (code P), open-market sales (code S), and 10b5-1 plan initiations are included. Director equity grants (code A) are shown in aggregate for context but carry no informational value.</w:t>
      </w:r>
    </w:p>
    <w:p>
      <w:r>
        <w:rPr>
          <w:rFonts w:ascii="Calibri" w:hAnsi="Calibri"/>
          <w:b/>
          <w:color w:val="525866"/>
          <w:sz w:val="22"/>
        </w:rPr>
        <w:t xml:space="preserve">Assessment: </w:t>
      </w:r>
      <w:r>
        <w:rPr>
          <w:rFonts w:ascii="Calibri" w:hAnsi="Calibri"/>
          <w:color w:val="525866"/>
          <w:sz w:val="22"/>
        </w:rPr>
        <w:t>The most notable item is Jason Glickman’s 47,264-share sale on April 28, 2026 (five days after the Q1 earnings beat), which is not flagged as a 10b5-1 plan sale. While the timing is notable, the sale represents a modest portion of his total holdings (136,433 shares post-sale) and may reflect personal financial planning rather than a negative signal on the company’s outlook. No open-market buys were recorded in the period, which is typical for a utility stock trading at a discount to intrinsic value where insiders may prefer to hold rather than add. Overall, the insider picture is neutral — no clustered buys or unusual discretionary sells that would change the investment thesis.</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