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fg-earnings-predictions--2026-07-27"/>
    <w:p>
      <w:pPr>
        <w:pStyle w:val="Heading1"/>
      </w:pPr>
      <w:r>
        <w:t xml:space="preserve">PFG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Operating EPS (ex. significant variances)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~$2.38 vs. cons $2.33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Specialty Benefits (Dental) Loss Ratio, Q2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~59.5% vs. cons ~61.0% (lower/favorable loss ratio)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 Management non-affiliated net cash flow, Q2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5.0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2.0B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 EPS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~9-12% (~</w:t>
            </w:r>
            <m:oMath>
              <m:r>
                <m:t>9.02</m:t>
              </m:r>
              <m:r>
                <m:rPr>
                  <m:sty m:val="p"/>
                </m:rPr>
                <m:t>−</m:t>
              </m:r>
            </m:oMath>
            <w:r>
              <w:t xml:space="preserve">9.26 EPS) vs. cons $9.37 (+13.3%)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ROE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~15-17% vs. cons ~16.0%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International Pension segment earnings run-rate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65M quarterly run-rate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PRT (pension risk transfer) second-half pipeline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</m:t>
              </m:r>
              <m:r>
                <m:rPr>
                  <m:sty m:val="p"/>
                </m:rPr>
                <m:t>−</m:t>
              </m:r>
              <m:r>
                <m:t>4.0</m:t>
              </m:r>
              <m:r>
                <m:t>B</m:t>
              </m:r>
              <m:r>
                <m:t>H</m:t>
              </m:r>
              <m:r>
                <m:t>2</m:t>
              </m:r>
              <m:r>
                <m:t>s</m:t>
              </m:r>
              <m:r>
                <m:t>a</m:t>
              </m:r>
              <m:r>
                <m:t>l</m:t>
              </m:r>
              <m:r>
                <m:t>e</m:t>
              </m:r>
              <m:r>
                <m:t>s</m:t>
              </m:r>
              <m:r>
                <m:t>p</m:t>
              </m:r>
              <m:r>
                <m:t>i</m:t>
              </m:r>
              <m:r>
                <m:t>c</m:t>
              </m:r>
              <m:r>
                <m:t>k</m:t>
              </m:r>
              <m:r>
                <m:t>u</m:t>
              </m:r>
              <m:r>
                <m:t>p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2.0B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An EPS/margin beat plus favorable Specialty Benefits loss ratio should drive an initial pop, but reaffirmed (not raised) FY26 guidance of 9-12% EPS growth sits below the Street's embedded 13.3% full-year build, implying analysts must trim out-quarter estimates even after a Q2 beat. Combine that with unresolved net-flow softness in Investment Management, a still-light first-half PRT pipeline, and a stock already trading above several fair-value estimates (~</w:t>
            </w:r>
            <m:oMath>
              <m:r>
                <m:t>101.50</m:t>
              </m:r>
              <m:r>
                <m:t>v</m:t>
              </m:r>
              <m:r>
                <m:t>s</m:t>
              </m:r>
              <m:r>
                <m:t> </m:t>
              </m:r>
            </m:oMath>
            <w:r>
              <w:t xml:space="preserve">107-109) after a 37%+ 12-month run, and the setup favors post-print mean reversion/fade over the following days as the initial reaction is unwound.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2026-07-27T00:22:13Z</dcterms:created>
  <dcterms:modified xsi:type="dcterms:W3CDTF">2026-07-27T00:22:13Z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