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non-GAAP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 vs. cons $2.32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Management net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6.0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3.0B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Benefits incurred loss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~60.2% vs. cons 61.2%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non-GAAP operating EPS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vs. cons 9.9%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Specialty Benefits incurred loss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~60.0% vs. cons 61.0%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deployment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~$1.65B vs. cons $1.65B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The roughly</w:t>
            </w:r>
            <w:r>
              <w:t xml:space="preserve"> </w:t>
            </w:r>
            <m:oMath>
              <m:r>
                <m:t>0.06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n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</m:oMath>
            <w:r>
              <w:t xml:space="preserve">6.0B Investment Management flow result versus -$3.0B consensus. Weak organic flows and normalization of underwriting benefits are likely to reduce FY2027 EPS estimates by roughly $0.10, producing negative revision follow-through despite unchanged FY2026 targets.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2026-07-27T00:21:51Z</dcterms:created>
  <dcterms:modified xsi:type="dcterms:W3CDTF">2026-07-27T00:21:51Z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