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410043d73d896df11cb31931d830dc1c8269b73"/>
    <w:p>
      <w:pPr>
        <w:pStyle w:val="Heading1"/>
      </w:pPr>
      <w:r>
        <w:t xml:space="preserve">PFG 2Q26 Earnings Preview: Strong AUM, but the Quality of Earnings Will Matter</w:t>
      </w:r>
    </w:p>
    <w:p>
      <w:pPr>
        <w:pStyle w:val="BlockText"/>
      </w:pPr>
      <w:r>
        <w:rPr>
          <w:b/>
          <w:bCs/>
        </w:rPr>
        <w:t xml:space="preserve">Timing clarification:</w:t>
      </w:r>
      <w:r>
        <w:t xml:space="preserve"> </w:t>
      </w:r>
      <w:r>
        <w:t xml:space="preserve">Principal Financial Group will release second-quarter results</w:t>
      </w:r>
      <w:r>
        <w:t xml:space="preserve"> </w:t>
      </w:r>
      <w:r>
        <w:rPr>
          <w:b/>
          <w:bCs/>
        </w:rPr>
        <w:t xml:space="preserve">after the market closes today, Monday, July 27, 2026</w:t>
      </w:r>
      <w:r>
        <w:t xml:space="preserve">—not tomorrow. Management’s conference call is scheduled for</w:t>
      </w:r>
      <w:r>
        <w:t xml:space="preserve"> </w:t>
      </w:r>
      <w:r>
        <w:rPr>
          <w:b/>
          <w:bCs/>
        </w:rPr>
        <w:t xml:space="preserve">Tuesday, July 28, at 10:00 a.m. ET</w:t>
      </w:r>
      <w:r>
        <w:t xml:space="preserve">. (</w:t>
      </w:r>
      <w:hyperlink r:id="rId9">
        <w:r>
          <w:rPr>
            <w:rStyle w:val="Hyperlink"/>
          </w:rPr>
          <w:t xml:space="preserve">investors.principal.com</w:t>
        </w:r>
      </w:hyperlink>
      <w:r>
        <w:t xml:space="preserve">)</w:t>
      </w:r>
    </w:p>
    <w:bookmarkStart w:id="11" w:name="at-a-glance"/>
    <w:p>
      <w:pPr>
        <w:pStyle w:val="Heading2"/>
      </w:pPr>
      <w:r>
        <w:t xml:space="preserve">At a glance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Item</w:t>
            </w:r>
          </w:p>
        </w:tc>
        <w:tc>
          <w:tcPr/>
          <w:p>
            <w:pPr>
              <w:pStyle w:val="Compact"/>
              <w:jc w:val="right"/>
            </w:pPr>
            <w:r>
              <w:t xml:space="preserve">Expectation / latest data</w:t>
            </w:r>
          </w:p>
        </w:tc>
      </w:tr>
      <w:tr>
        <w:tc>
          <w:tcPr/>
          <w:p>
            <w:pPr>
              <w:pStyle w:val="Compact"/>
            </w:pPr>
            <w:r>
              <w:t xml:space="preserve">Consensus adjusted EPS</w:t>
            </w:r>
          </w:p>
        </w:tc>
        <w:tc>
          <w:tcPr/>
          <w:p>
            <w:pPr>
              <w:pStyle w:val="Compact"/>
              <w:jc w:val="right"/>
            </w:pPr>
            <w:r>
              <w:rPr>
                <w:b/>
                <w:bCs/>
              </w:rPr>
              <w:t xml:space="preserve">~$2.32</w:t>
            </w:r>
          </w:p>
        </w:tc>
      </w:tr>
      <w:tr>
        <w:tc>
          <w:tcPr/>
          <w:p>
            <w:pPr>
              <w:pStyle w:val="Compact"/>
            </w:pPr>
            <w:r>
              <w:t xml:space="preserve">Consensus revenue</w:t>
            </w:r>
          </w:p>
        </w:tc>
        <w:tc>
          <w:tcPr/>
          <w:p>
            <w:pPr>
              <w:pStyle w:val="Compact"/>
              <w:jc w:val="right"/>
            </w:pPr>
            <w:r>
              <w:rPr>
                <w:b/>
                <w:bCs/>
              </w:rPr>
              <w:t xml:space="preserve">~$4.1B</w:t>
            </w:r>
          </w:p>
        </w:tc>
      </w:tr>
      <w:tr>
        <w:tc>
          <w:tcPr/>
          <w:p>
            <w:pPr>
              <w:pStyle w:val="Compact"/>
            </w:pPr>
            <w:r>
              <w:t xml:space="preserve">Implied EPS growth</w:t>
            </w:r>
          </w:p>
        </w:tc>
        <w:tc>
          <w:tcPr/>
          <w:p>
            <w:pPr>
              <w:pStyle w:val="Compact"/>
              <w:jc w:val="right"/>
            </w:pPr>
            <w:r>
              <w:rPr>
                <w:b/>
                <w:bCs/>
              </w:rPr>
              <w:t xml:space="preserve">~7% YoY</w:t>
            </w:r>
          </w:p>
        </w:tc>
      </w:tr>
      <w:tr>
        <w:tc>
          <w:tcPr/>
          <w:p>
            <w:pPr>
              <w:pStyle w:val="Compact"/>
            </w:pPr>
            <w:r>
              <w:t xml:space="preserve">Preannounced total AUM</w:t>
            </w:r>
          </w:p>
        </w:tc>
        <w:tc>
          <w:tcPr/>
          <w:p>
            <w:pPr>
              <w:pStyle w:val="Compact"/>
              <w:jc w:val="right"/>
            </w:pPr>
            <w:r>
              <w:rPr>
                <w:b/>
                <w:bCs/>
              </w:rPr>
              <w:t xml:space="preserve">$808.0B</w:t>
            </w:r>
          </w:p>
        </w:tc>
      </w:tr>
      <w:tr>
        <w:tc>
          <w:tcPr/>
          <w:p>
            <w:pPr>
              <w:pStyle w:val="Compact"/>
            </w:pPr>
            <w:r>
              <w:t xml:space="preserve">Investment Management AUM</w:t>
            </w:r>
          </w:p>
        </w:tc>
        <w:tc>
          <w:tcPr/>
          <w:p>
            <w:pPr>
              <w:pStyle w:val="Compact"/>
              <w:jc w:val="right"/>
            </w:pPr>
            <w:r>
              <w:rPr>
                <w:b/>
                <w:bCs/>
              </w:rPr>
              <w:t xml:space="preserve">$601.9B</w:t>
            </w:r>
          </w:p>
        </w:tc>
      </w:tr>
      <w:tr>
        <w:tc>
          <w:tcPr/>
          <w:p>
            <w:pPr>
              <w:pStyle w:val="Compact"/>
            </w:pPr>
            <w:r>
              <w:t xml:space="preserve">International Pension AUM</w:t>
            </w:r>
          </w:p>
        </w:tc>
        <w:tc>
          <w:tcPr/>
          <w:p>
            <w:pPr>
              <w:pStyle w:val="Compact"/>
              <w:jc w:val="right"/>
            </w:pPr>
            <w:r>
              <w:rPr>
                <w:b/>
                <w:bCs/>
              </w:rPr>
              <w:t xml:space="preserve">$168.5B</w:t>
            </w:r>
          </w:p>
        </w:tc>
      </w:tr>
      <w:tr>
        <w:tc>
          <w:tcPr/>
          <w:p>
            <w:pPr>
              <w:pStyle w:val="Compact"/>
            </w:pPr>
            <w:r>
              <w:t xml:space="preserve">2026 adjusted EPS growth target</w:t>
            </w:r>
          </w:p>
        </w:tc>
        <w:tc>
          <w:tcPr/>
          <w:p>
            <w:pPr>
              <w:pStyle w:val="Compact"/>
              <w:jc w:val="right"/>
            </w:pPr>
            <w:r>
              <w:rPr>
                <w:b/>
                <w:bCs/>
              </w:rPr>
              <w:t xml:space="preserve">9%–12%</w:t>
            </w:r>
          </w:p>
        </w:tc>
      </w:tr>
      <w:tr>
        <w:tc>
          <w:tcPr/>
          <w:p>
            <w:pPr>
              <w:pStyle w:val="Compact"/>
            </w:pPr>
            <w:r>
              <w:t xml:space="preserve">PFG close, July 24</w:t>
            </w:r>
          </w:p>
        </w:tc>
        <w:tc>
          <w:tcPr/>
          <w:p>
            <w:pPr>
              <w:pStyle w:val="Compact"/>
              <w:jc w:val="right"/>
            </w:pPr>
            <w:r>
              <w:rPr>
                <w:b/>
                <w:bCs/>
              </w:rPr>
              <w:t xml:space="preserve">$109.43</w:t>
            </w:r>
          </w:p>
        </w:tc>
      </w:tr>
      <w:tr>
        <w:tc>
          <w:tcPr/>
          <w:p>
            <w:pPr>
              <w:pStyle w:val="Compact"/>
            </w:pPr>
            <w:r>
              <w:t xml:space="preserve">2026 share-price change through July 24</w:t>
            </w:r>
          </w:p>
        </w:tc>
        <w:tc>
          <w:tcPr/>
          <w:p>
            <w:pPr>
              <w:pStyle w:val="Compact"/>
              <w:jc w:val="right"/>
            </w:pPr>
            <w:r>
              <w:rPr>
                <w:b/>
                <w:bCs/>
              </w:rPr>
              <w:t xml:space="preserve">+22%</w:t>
            </w:r>
          </w:p>
        </w:tc>
      </w:tr>
    </w:tbl>
    <w:p>
      <w:pPr>
        <w:pStyle w:val="BodyText"/>
      </w:pPr>
      <w:r>
        <w:t xml:space="preserve">Consensus is clustered around adjusted EPS of $2.32 and revenue of approximately $4.1 billion, with the EPS estimate implying roughly 7% year-over-year growth. The full-year consensus is near $9.40, approximately the midpoint of management’s target range. (</w:t>
      </w:r>
      <w:hyperlink r:id="rId10">
        <w:r>
          <w:rPr>
            <w:rStyle w:val="Hyperlink"/>
          </w:rPr>
          <w:t xml:space="preserve">benzinga.com</w:t>
        </w:r>
      </w:hyperlink>
      <w:r>
        <w:t xml:space="preserve">)</w:t>
      </w:r>
    </w:p>
    <w:bookmarkEnd w:id="11"/>
    <w:bookmarkStart w:id="12" w:name="investment-view-going-into-the-report"/>
    <w:p>
      <w:pPr>
        <w:pStyle w:val="Heading2"/>
      </w:pPr>
      <w:r>
        <w:t xml:space="preserve">Investment view going into the report</w:t>
      </w:r>
    </w:p>
    <w:p>
      <w:pPr>
        <w:pStyle w:val="FirstParagraph"/>
      </w:pPr>
      <w:r>
        <w:t xml:space="preserve">The setup is constructive, but expectations have risen. PFG shares have advanced about 22% this year and nearly 13% since the previous earnings release. Meanwhile, the company has already disclosed strong quarter-end AUM.</w:t>
      </w:r>
    </w:p>
    <w:p>
      <w:pPr>
        <w:pStyle w:val="BodyText"/>
      </w:pPr>
      <w:r>
        <w:t xml:space="preserve">That shifts the debate away from whether markets helped earnings and toward three harder questions:</w:t>
      </w:r>
    </w:p>
    <w:p>
      <w:pPr>
        <w:pStyle w:val="Compact"/>
        <w:numPr>
          <w:ilvl w:val="0"/>
          <w:numId w:val="1001"/>
        </w:numPr>
      </w:pPr>
      <w:r>
        <w:rPr>
          <w:b/>
          <w:bCs/>
        </w:rPr>
        <w:t xml:space="preserve">How much of the AUM growth came from actual client flows?</w:t>
      </w:r>
    </w:p>
    <w:p>
      <w:pPr>
        <w:pStyle w:val="Compact"/>
        <w:numPr>
          <w:ilvl w:val="0"/>
          <w:numId w:val="1001"/>
        </w:numPr>
      </w:pPr>
      <w:r>
        <w:rPr>
          <w:b/>
          <w:bCs/>
        </w:rPr>
        <w:t xml:space="preserve">How much of the unusually favorable first-quarter insurance experience is sustainable?</w:t>
      </w:r>
    </w:p>
    <w:p>
      <w:pPr>
        <w:pStyle w:val="Compact"/>
        <w:numPr>
          <w:ilvl w:val="0"/>
          <w:numId w:val="1001"/>
        </w:numPr>
      </w:pPr>
      <w:r>
        <w:rPr>
          <w:b/>
          <w:bCs/>
        </w:rPr>
        <w:t xml:space="preserve">Can management preserve margins while investing for growth?</w:t>
      </w:r>
    </w:p>
    <w:p>
      <w:pPr>
        <w:pStyle w:val="FirstParagraph"/>
      </w:pPr>
      <w:r>
        <w:t xml:space="preserve">A modest EPS beat driven by markets, foreign exchange or unusually favorable claims may not be enough to move the stock materially higher. A higher-quality result would combine positive or improving net flows, resilient underwriting, progress on variable investment income and continued capital returns.</w:t>
      </w:r>
    </w:p>
    <w:p>
      <w:r>
        <w:pict>
          <v:rect style="width:0;height:1.5pt" o:hralign="center" o:hrstd="t" o:hr="t"/>
        </w:pict>
      </w:r>
    </w:p>
    <w:bookmarkEnd w:id="12"/>
    <w:bookmarkStart w:id="15" w:name="Xa2b163d3bb054f9f5eb700c5956941b74e50e9a"/>
    <w:p>
      <w:pPr>
        <w:pStyle w:val="Heading2"/>
      </w:pPr>
      <w:r>
        <w:t xml:space="preserve">1. AUM is already a positive—but flows are the key missing piece</w:t>
      </w:r>
    </w:p>
    <w:p>
      <w:pPr>
        <w:pStyle w:val="FirstParagraph"/>
      </w:pPr>
      <w:r>
        <w:t xml:space="preserve">PFG preannounced second-quarter total AUM of</w:t>
      </w:r>
      <w:r>
        <w:t xml:space="preserve"> </w:t>
      </w:r>
      <w:r>
        <w:rPr>
          <w:b/>
          <w:bCs/>
        </w:rPr>
        <w:t xml:space="preserve">$808 billion</w:t>
      </w:r>
      <w:r>
        <w:t xml:space="preserve">, up almost 5% sequentially from approximately $770 billion at March 31. Investment Management AUM reached $601.9 billion and International Pension AUM reached $168.5 billion. Those figures are approximately 1% and 4% above recently published consensus estimates, respectively. (</w:t>
      </w:r>
      <w:hyperlink r:id="rId13">
        <w:r>
          <w:rPr>
            <w:rStyle w:val="Hyperlink"/>
          </w:rPr>
          <w:t xml:space="preserve">tipranks.com</w:t>
        </w:r>
      </w:hyperlink>
      <w:r>
        <w:t xml:space="preserve">)</w:t>
      </w:r>
    </w:p>
    <w:p>
      <w:pPr>
        <w:pStyle w:val="BodyText"/>
      </w:pPr>
      <w:r>
        <w:t xml:space="preserve">The caveat is important: management said market performance, foreign exchange and other non-flow items added approximately</w:t>
      </w:r>
      <w:r>
        <w:t xml:space="preserve"> </w:t>
      </w:r>
      <w:r>
        <w:rPr>
          <w:b/>
          <w:bCs/>
        </w:rPr>
        <w:t xml:space="preserve">6.4% of beginning AUM</w:t>
      </w:r>
      <w:r>
        <w:t xml:space="preserve"> </w:t>
      </w:r>
      <w:r>
        <w:t xml:space="preserve">during the quarter. In other words, the headline AUM gain was largely market- and currency-supported rather than proof of strong organic asset gathering. (</w:t>
      </w:r>
      <w:hyperlink r:id="rId13">
        <w:r>
          <w:rPr>
            <w:rStyle w:val="Hyperlink"/>
          </w:rPr>
          <w:t xml:space="preserve">tipranks.com</w:t>
        </w:r>
      </w:hyperlink>
      <w:r>
        <w:t xml:space="preserve">)</w:t>
      </w:r>
    </w:p>
    <w:bookmarkStart w:id="14" w:name="what-to-watch"/>
    <w:p>
      <w:pPr>
        <w:pStyle w:val="Heading3"/>
      </w:pPr>
      <w:r>
        <w:t xml:space="preserve">What to watch</w:t>
      </w:r>
    </w:p>
    <w:p>
      <w:pPr>
        <w:pStyle w:val="Compact"/>
        <w:numPr>
          <w:ilvl w:val="0"/>
          <w:numId w:val="1002"/>
        </w:numPr>
      </w:pPr>
      <w:r>
        <w:t xml:space="preserve">Investment Management net flows, particularly nonaffiliated flows</w:t>
      </w:r>
    </w:p>
    <w:p>
      <w:pPr>
        <w:pStyle w:val="Compact"/>
        <w:numPr>
          <w:ilvl w:val="0"/>
          <w:numId w:val="1002"/>
        </w:numPr>
      </w:pPr>
      <w:r>
        <w:t xml:space="preserve">Funding of the more than</w:t>
      </w:r>
      <w:r>
        <w:t xml:space="preserve"> </w:t>
      </w:r>
      <w:r>
        <w:rPr>
          <w:b/>
          <w:bCs/>
        </w:rPr>
        <w:t xml:space="preserve">$9 billion mandate pipeline</w:t>
      </w:r>
      <w:r>
        <w:t xml:space="preserve"> </w:t>
      </w:r>
      <w:r>
        <w:t xml:space="preserve">disclosed last quarter</w:t>
      </w:r>
    </w:p>
    <w:p>
      <w:pPr>
        <w:pStyle w:val="Compact"/>
        <w:numPr>
          <w:ilvl w:val="0"/>
          <w:numId w:val="1002"/>
        </w:numPr>
      </w:pPr>
      <w:r>
        <w:t xml:space="preserve">Continued demand for private markets, active ETFs and non-U.S. products</w:t>
      </w:r>
    </w:p>
    <w:p>
      <w:pPr>
        <w:pStyle w:val="Compact"/>
        <w:numPr>
          <w:ilvl w:val="0"/>
          <w:numId w:val="1002"/>
        </w:numPr>
      </w:pPr>
      <w:r>
        <w:t xml:space="preserve">Redemptions from legacy U.S. active-equity strategies</w:t>
      </w:r>
    </w:p>
    <w:p>
      <w:pPr>
        <w:pStyle w:val="Compact"/>
        <w:numPr>
          <w:ilvl w:val="0"/>
          <w:numId w:val="1002"/>
        </w:numPr>
      </w:pPr>
      <w:r>
        <w:t xml:space="preserve">Management-fee growth and the effective fee rate</w:t>
      </w:r>
    </w:p>
    <w:p>
      <w:pPr>
        <w:pStyle w:val="Compact"/>
        <w:numPr>
          <w:ilvl w:val="0"/>
          <w:numId w:val="1002"/>
        </w:numPr>
      </w:pPr>
      <w:r>
        <w:t xml:space="preserve">Investment performance, especially three-year U.S. equity results</w:t>
      </w:r>
    </w:p>
    <w:p>
      <w:pPr>
        <w:pStyle w:val="Compact"/>
        <w:numPr>
          <w:ilvl w:val="0"/>
          <w:numId w:val="1002"/>
        </w:numPr>
      </w:pPr>
      <w:r>
        <w:t xml:space="preserve">International Pension flows in Brazil and other core markets</w:t>
      </w:r>
    </w:p>
    <w:p>
      <w:pPr>
        <w:pStyle w:val="FirstParagraph"/>
      </w:pPr>
      <w:r>
        <w:t xml:space="preserve">First-quarter Investment Management gross sales reached a record $37 billion, but redemptions in a concentrated group of U.S. active-equity funds kept the overall flow picture less impressive. Management expected redemptions to normalize and the unfunded mandate pipeline to support improvement during the rest of 2026. Investors will want concrete evidence that this is beginning to occur.</w:t>
      </w:r>
    </w:p>
    <w:p>
      <w:pPr>
        <w:pStyle w:val="BodyText"/>
      </w:pPr>
      <w:r>
        <w:rPr>
          <w:b/>
          <w:bCs/>
        </w:rPr>
        <w:t xml:space="preserve">Best outcome:</w:t>
      </w:r>
      <w:r>
        <w:t xml:space="preserve"> </w:t>
      </w:r>
      <w:r>
        <w:t xml:space="preserve">positive nonaffiliated flows and meaningful pipeline funding accompanying the strong AUM figure.</w:t>
      </w:r>
    </w:p>
    <w:p>
      <w:pPr>
        <w:pStyle w:val="BodyText"/>
      </w:pPr>
      <w:r>
        <w:rPr>
          <w:b/>
          <w:bCs/>
        </w:rPr>
        <w:t xml:space="preserve">Less favorable outcome:</w:t>
      </w:r>
      <w:r>
        <w:t xml:space="preserve"> </w:t>
      </w:r>
      <w:r>
        <w:t xml:space="preserve">higher AUM and fee revenue, but persistent net outflows that suggest earnings remain overly dependent on markets.</w:t>
      </w:r>
    </w:p>
    <w:p>
      <w:r>
        <w:pict>
          <v:rect style="width:0;height:1.5pt" o:hralign="center" o:hrstd="t" o:hr="t"/>
        </w:pict>
      </w:r>
    </w:p>
    <w:bookmarkEnd w:id="14"/>
    <w:bookmarkEnd w:id="15"/>
    <w:bookmarkStart w:id="18" w:name="X50192cd0a0edd77fa3a05b567d0bef0b873cb03"/>
    <w:p>
      <w:pPr>
        <w:pStyle w:val="Heading2"/>
      </w:pPr>
      <w:r>
        <w:t xml:space="preserve">2. Benefits &amp; Protection faces a tougher sequential comparison</w:t>
      </w:r>
    </w:p>
    <w:p>
      <w:pPr>
        <w:pStyle w:val="FirstParagraph"/>
      </w:pPr>
      <w:r>
        <w:t xml:space="preserve">Benefits &amp; Protection was the principal source of first-quarter upside. Specialty Benefits produced a</w:t>
      </w:r>
      <w:r>
        <w:t xml:space="preserve"> </w:t>
      </w:r>
      <w:r>
        <w:rPr>
          <w:b/>
          <w:bCs/>
        </w:rPr>
        <w:t xml:space="preserve">58.5% loss ratio</w:t>
      </w:r>
      <w:r>
        <w:t xml:space="preserve"> </w:t>
      </w:r>
      <w:r>
        <w:t xml:space="preserve">and a 16.2% margin, while Life Insurance delivered a 15.6% margin due to unusually favorable mortality. Management explicitly characterized some of the Life result as positive volatility and indicated that full-year Life margins were more likely to land toward the lower end of the 12%–16% target range. (</w:t>
      </w:r>
      <w:hyperlink r:id="rId16">
        <w:r>
          <w:rPr>
            <w:rStyle w:val="Hyperlink"/>
          </w:rPr>
          <w:t xml:space="preserve">investors.principal.com</w:t>
        </w:r>
      </w:hyperlink>
      <w:r>
        <w:t xml:space="preserve">)</w:t>
      </w:r>
    </w:p>
    <w:p>
      <w:pPr>
        <w:pStyle w:val="BodyText"/>
      </w:pPr>
      <w:r>
        <w:t xml:space="preserve">There is also normal seasonality to consider. Management said the second quarter is generally the highest-utilization quarter for Dental, which should push the overall Specialty Benefits loss ratio higher sequentially.</w:t>
      </w:r>
    </w:p>
    <w:bookmarkStart w:id="17" w:name="what-constitutes-a-good-result"/>
    <w:p>
      <w:pPr>
        <w:pStyle w:val="Heading3"/>
      </w:pPr>
      <w:r>
        <w:t xml:space="preserve">What constitutes a good result?</w:t>
      </w:r>
    </w:p>
    <w:p>
      <w:pPr>
        <w:pStyle w:val="FirstParagraph"/>
      </w:pPr>
      <w:r>
        <w:t xml:space="preserve">A sequential increase in the loss ratio would not necessarily be disappointing. The more relevant tests are:</w:t>
      </w:r>
    </w:p>
    <w:p>
      <w:pPr>
        <w:pStyle w:val="Compact"/>
        <w:numPr>
          <w:ilvl w:val="0"/>
          <w:numId w:val="1003"/>
        </w:numPr>
      </w:pPr>
      <w:r>
        <w:t xml:space="preserve">Does the Specialty Benefits loss ratio remain near or below the low end of the</w:t>
      </w:r>
      <w:r>
        <w:t xml:space="preserve"> </w:t>
      </w:r>
      <w:r>
        <w:rPr>
          <w:b/>
          <w:bCs/>
        </w:rPr>
        <w:t xml:space="preserve">60%–64% full-year target</w:t>
      </w:r>
      <w:r>
        <w:t xml:space="preserve">?</w:t>
      </w:r>
    </w:p>
    <w:p>
      <w:pPr>
        <w:pStyle w:val="Compact"/>
        <w:numPr>
          <w:ilvl w:val="0"/>
          <w:numId w:val="1003"/>
        </w:numPr>
      </w:pPr>
      <w:r>
        <w:t xml:space="preserve">Does premium-and-fee growth accelerate toward management’s</w:t>
      </w:r>
      <w:r>
        <w:t xml:space="preserve"> </w:t>
      </w:r>
      <w:r>
        <w:rPr>
          <w:b/>
          <w:bCs/>
        </w:rPr>
        <w:t xml:space="preserve">5%–9% target range</w:t>
      </w:r>
      <w:r>
        <w:t xml:space="preserve">?</w:t>
      </w:r>
    </w:p>
    <w:p>
      <w:pPr>
        <w:pStyle w:val="Compact"/>
        <w:numPr>
          <w:ilvl w:val="0"/>
          <w:numId w:val="1003"/>
        </w:numPr>
      </w:pPr>
      <w:r>
        <w:t xml:space="preserve">Are prior Dental pricing actions and network optimization still producing benefits?</w:t>
      </w:r>
    </w:p>
    <w:p>
      <w:pPr>
        <w:pStyle w:val="Compact"/>
        <w:numPr>
          <w:ilvl w:val="0"/>
          <w:numId w:val="1003"/>
        </w:numPr>
      </w:pPr>
      <w:r>
        <w:t xml:space="preserve">Does Disability remain stable?</w:t>
      </w:r>
    </w:p>
    <w:p>
      <w:pPr>
        <w:pStyle w:val="Compact"/>
        <w:numPr>
          <w:ilvl w:val="0"/>
          <w:numId w:val="1003"/>
        </w:numPr>
      </w:pPr>
      <w:r>
        <w:t xml:space="preserve">Does Life mortality normalize without falling below underlying expectations?</w:t>
      </w:r>
    </w:p>
    <w:p>
      <w:pPr>
        <w:pStyle w:val="Compact"/>
        <w:numPr>
          <w:ilvl w:val="0"/>
          <w:numId w:val="1003"/>
        </w:numPr>
      </w:pPr>
      <w:r>
        <w:t xml:space="preserve">Is the small Alabama dental-network acquisition contributing as planned?</w:t>
      </w:r>
    </w:p>
    <w:p>
      <w:pPr>
        <w:pStyle w:val="FirstParagraph"/>
      </w:pPr>
      <w:r>
        <w:t xml:space="preserve">Specialty Benefits sales grew 24% in the first quarter, but premium-and-fee growth was only 3.6%. Management expected revenue growth to strengthen, particularly in the second half. An acceleration in premium growth without material deterioration in claims would be one of the cleanest positive signals in the report.</w:t>
      </w:r>
    </w:p>
    <w:p>
      <w:r>
        <w:pict>
          <v:rect style="width:0;height:1.5pt" o:hralign="center" o:hrstd="t" o:hr="t"/>
        </w:pict>
      </w:r>
    </w:p>
    <w:bookmarkEnd w:id="17"/>
    <w:bookmarkEnd w:id="18"/>
    <w:bookmarkStart w:id="20" w:name="X7741a36573711fbbc3b45d32ec5d32a56a15963"/>
    <w:p>
      <w:pPr>
        <w:pStyle w:val="Heading2"/>
      </w:pPr>
      <w:r>
        <w:t xml:space="preserve">3. RIS should remain solid, but first-quarter strength is unlikely to repeat</w:t>
      </w:r>
    </w:p>
    <w:p>
      <w:pPr>
        <w:pStyle w:val="FirstParagraph"/>
      </w:pPr>
      <w:r>
        <w:t xml:space="preserve">Retirement and Income Solutions entered the quarter with good momentum:</w:t>
      </w:r>
    </w:p>
    <w:p>
      <w:pPr>
        <w:pStyle w:val="Compact"/>
        <w:numPr>
          <w:ilvl w:val="0"/>
          <w:numId w:val="1004"/>
        </w:numPr>
      </w:pPr>
      <w:r>
        <w:t xml:space="preserve">First-quarter transfer deposits:</w:t>
      </w:r>
      <w:r>
        <w:t xml:space="preserve"> </w:t>
      </w:r>
      <w:r>
        <w:rPr>
          <w:b/>
          <w:bCs/>
        </w:rPr>
        <w:t xml:space="preserve">$12B</w:t>
      </w:r>
      <w:r>
        <w:t xml:space="preserve">, up 35%</w:t>
      </w:r>
    </w:p>
    <w:p>
      <w:pPr>
        <w:pStyle w:val="Compact"/>
        <w:numPr>
          <w:ilvl w:val="0"/>
          <w:numId w:val="1004"/>
        </w:numPr>
      </w:pPr>
      <w:r>
        <w:t xml:space="preserve">Recurring deposits: up 7%</w:t>
      </w:r>
    </w:p>
    <w:p>
      <w:pPr>
        <w:pStyle w:val="Compact"/>
        <w:numPr>
          <w:ilvl w:val="0"/>
          <w:numId w:val="1004"/>
        </w:numPr>
      </w:pPr>
      <w:r>
        <w:t xml:space="preserve">Account-value net cash flow:</w:t>
      </w:r>
      <w:r>
        <w:t xml:space="preserve"> </w:t>
      </w:r>
      <w:r>
        <w:rPr>
          <w:b/>
          <w:bCs/>
        </w:rPr>
        <w:t xml:space="preserve">+$1.8B</w:t>
      </w:r>
    </w:p>
    <w:p>
      <w:pPr>
        <w:pStyle w:val="Compact"/>
        <w:numPr>
          <w:ilvl w:val="0"/>
          <w:numId w:val="1004"/>
        </w:numPr>
      </w:pPr>
      <w:r>
        <w:t xml:space="preserve">Operating margin:</w:t>
      </w:r>
      <w:r>
        <w:t xml:space="preserve"> </w:t>
      </w:r>
      <w:r>
        <w:rPr>
          <w:b/>
          <w:bCs/>
        </w:rPr>
        <w:t xml:space="preserve">41.5%</w:t>
      </w:r>
    </w:p>
    <w:p>
      <w:pPr>
        <w:pStyle w:val="FirstParagraph"/>
      </w:pPr>
      <w:r>
        <w:t xml:space="preserve">However, management cautioned that first-quarter transfer activity benefited from large-case wins and that the first quarter is typically the strongest period for sales and deposits. The 41.5% margin was also slightly above the company’s 38%–41% target range because of favorable seasonality and timing.</w:t>
      </w:r>
    </w:p>
    <w:bookmarkStart w:id="19" w:name="key-ris-questions"/>
    <w:p>
      <w:pPr>
        <w:pStyle w:val="Heading3"/>
      </w:pPr>
      <w:r>
        <w:t xml:space="preserve">Key RIS questions</w:t>
      </w:r>
    </w:p>
    <w:p>
      <w:pPr>
        <w:pStyle w:val="Compact"/>
        <w:numPr>
          <w:ilvl w:val="0"/>
          <w:numId w:val="1005"/>
        </w:numPr>
      </w:pPr>
      <w:r>
        <w:t xml:space="preserve">Are recurring deposits still growing in the mid-single digits?</w:t>
      </w:r>
    </w:p>
    <w:p>
      <w:pPr>
        <w:pStyle w:val="Compact"/>
        <w:numPr>
          <w:ilvl w:val="0"/>
          <w:numId w:val="1005"/>
        </w:numPr>
      </w:pPr>
      <w:r>
        <w:t xml:space="preserve">Did retention remain favorable as strong markets increased withdrawal dollars?</w:t>
      </w:r>
    </w:p>
    <w:p>
      <w:pPr>
        <w:pStyle w:val="Compact"/>
        <w:numPr>
          <w:ilvl w:val="0"/>
          <w:numId w:val="1005"/>
        </w:numPr>
      </w:pPr>
      <w:r>
        <w:t xml:space="preserve">How much did large-plan wins or losses affect net flows?</w:t>
      </w:r>
    </w:p>
    <w:p>
      <w:pPr>
        <w:pStyle w:val="Compact"/>
        <w:numPr>
          <w:ilvl w:val="0"/>
          <w:numId w:val="1005"/>
        </w:numPr>
      </w:pPr>
      <w:r>
        <w:t xml:space="preserve">Can the margin remain near the upper end of the target range?</w:t>
      </w:r>
    </w:p>
    <w:p>
      <w:pPr>
        <w:pStyle w:val="Compact"/>
        <w:numPr>
          <w:ilvl w:val="0"/>
          <w:numId w:val="1005"/>
        </w:numPr>
      </w:pPr>
      <w:r>
        <w:t xml:space="preserve">Is employment and wage growth across PFG’s small- and midsized-business client base holding up?</w:t>
      </w:r>
    </w:p>
    <w:p>
      <w:pPr>
        <w:pStyle w:val="Compact"/>
        <w:numPr>
          <w:ilvl w:val="0"/>
          <w:numId w:val="1005"/>
        </w:numPr>
      </w:pPr>
      <w:r>
        <w:t xml:space="preserve">Has the pension-risk-transfer pipeline improved after a light first half?</w:t>
      </w:r>
    </w:p>
    <w:p>
      <w:pPr>
        <w:pStyle w:val="Compact"/>
        <w:numPr>
          <w:ilvl w:val="0"/>
          <w:numId w:val="1005"/>
        </w:numPr>
      </w:pPr>
      <w:r>
        <w:t xml:space="preserve">Are stable-value and other spread-based retirement products continuing to attract flows?</w:t>
      </w:r>
    </w:p>
    <w:p>
      <w:pPr>
        <w:pStyle w:val="FirstParagraph"/>
      </w:pPr>
      <w:r>
        <w:t xml:space="preserve">RIS does not need another $12 billion transfer-deposit quarter. A better indicator of franchise health would be continued recurring-deposit growth, positive SMB flows and stable retention without sacrificing pricing.</w:t>
      </w:r>
    </w:p>
    <w:p>
      <w:r>
        <w:pict>
          <v:rect style="width:0;height:1.5pt" o:hralign="center" o:hrstd="t" o:hr="t"/>
        </w:pict>
      </w:r>
    </w:p>
    <w:bookmarkEnd w:id="19"/>
    <w:bookmarkEnd w:id="20"/>
    <w:bookmarkStart w:id="21" w:name="X3791b11d451cbc386f32f7945d969169566d1d8"/>
    <w:p>
      <w:pPr>
        <w:pStyle w:val="Heading2"/>
      </w:pPr>
      <w:r>
        <w:t xml:space="preserve">4. Variable investment income could determine the size of the EPS beat</w:t>
      </w:r>
    </w:p>
    <w:p>
      <w:pPr>
        <w:pStyle w:val="FirstParagraph"/>
      </w:pPr>
      <w:r>
        <w:t xml:space="preserve">First-quarter reported non-GAAP operating EPS was $2.07, but EPS excluding significant variances was $2.17. The principal drag was lower variable investment income, partly because there were no real-estate transactions during the quarter.</w:t>
      </w:r>
    </w:p>
    <w:p>
      <w:pPr>
        <w:pStyle w:val="BodyText"/>
      </w:pPr>
      <w:r>
        <w:t xml:space="preserve">Management said it expected real-estate transaction activity to pick up in the second through fourth quarters and continued to forecast better full-year variable investment income in 2026 than in 2025.</w:t>
      </w:r>
    </w:p>
    <w:p>
      <w:pPr>
        <w:pStyle w:val="BodyText"/>
      </w:pPr>
      <w:r>
        <w:t xml:space="preserve">This creates potential upside, but also makes earnings quality more complicated:</w:t>
      </w:r>
    </w:p>
    <w:p>
      <w:pPr>
        <w:pStyle w:val="Compact"/>
        <w:numPr>
          <w:ilvl w:val="0"/>
          <w:numId w:val="1006"/>
        </w:numPr>
      </w:pPr>
      <w:r>
        <w:rPr>
          <w:b/>
          <w:bCs/>
        </w:rPr>
        <w:t xml:space="preserve">A beat from improved real-estate realizations</w:t>
      </w:r>
      <w:r>
        <w:t xml:space="preserve"> </w:t>
      </w:r>
      <w:r>
        <w:t xml:space="preserve">would confirm management’s outlook.</w:t>
      </w:r>
    </w:p>
    <w:p>
      <w:pPr>
        <w:pStyle w:val="Compact"/>
        <w:numPr>
          <w:ilvl w:val="0"/>
          <w:numId w:val="1006"/>
        </w:numPr>
      </w:pPr>
      <w:r>
        <w:rPr>
          <w:b/>
          <w:bCs/>
        </w:rPr>
        <w:t xml:space="preserve">A beat from favorable claims or other volatility</w:t>
      </w:r>
      <w:r>
        <w:t xml:space="preserve"> </w:t>
      </w:r>
      <w:r>
        <w:t xml:space="preserve">could be viewed as less repeatable.</w:t>
      </w:r>
    </w:p>
    <w:p>
      <w:pPr>
        <w:pStyle w:val="Compact"/>
        <w:numPr>
          <w:ilvl w:val="0"/>
          <w:numId w:val="1006"/>
        </w:numPr>
      </w:pPr>
      <w:r>
        <w:rPr>
          <w:b/>
          <w:bCs/>
        </w:rPr>
        <w:t xml:space="preserve">A miss caused by another weak variable-investment-income quarter</w:t>
      </w:r>
      <w:r>
        <w:t xml:space="preserve"> </w:t>
      </w:r>
      <w:r>
        <w:t xml:space="preserve">would raise the burden on the second half.</w:t>
      </w:r>
    </w:p>
    <w:p>
      <w:pPr>
        <w:pStyle w:val="FirstParagraph"/>
      </w:pPr>
      <w:r>
        <w:t xml:space="preserve">Investors should compare both reported operating EPS and EPS excluding significant variances rather than relying on the headline figure alone.</w:t>
      </w:r>
    </w:p>
    <w:p>
      <w:r>
        <w:pict>
          <v:rect style="width:0;height:1.5pt" o:hralign="center" o:hrstd="t" o:hr="t"/>
        </w:pict>
      </w:r>
    </w:p>
    <w:bookmarkEnd w:id="21"/>
    <w:bookmarkStart w:id="22" w:name="X4f278202eb049362eac41f3b0c5cf8f1fa00e85"/>
    <w:p>
      <w:pPr>
        <w:pStyle w:val="Heading2"/>
      </w:pPr>
      <w:r>
        <w:t xml:space="preserve">5. Capital return should remain an important part of the story</w:t>
      </w:r>
    </w:p>
    <w:p>
      <w:pPr>
        <w:pStyle w:val="FirstParagraph"/>
      </w:pPr>
      <w:r>
        <w:t xml:space="preserve">PFG ended the first quarter with approximately</w:t>
      </w:r>
      <w:r>
        <w:t xml:space="preserve"> </w:t>
      </w:r>
      <w:r>
        <w:rPr>
          <w:b/>
          <w:bCs/>
        </w:rPr>
        <w:t xml:space="preserve">$1.45 billion of excess and available capital</w:t>
      </w:r>
      <w:r>
        <w:t xml:space="preserve">, including:</w:t>
      </w:r>
    </w:p>
    <w:p>
      <w:pPr>
        <w:pStyle w:val="Compact"/>
        <w:numPr>
          <w:ilvl w:val="0"/>
          <w:numId w:val="1007"/>
        </w:numPr>
      </w:pPr>
      <w:r>
        <w:t xml:space="preserve">$800 million at the holding company</w:t>
      </w:r>
    </w:p>
    <w:p>
      <w:pPr>
        <w:pStyle w:val="Compact"/>
        <w:numPr>
          <w:ilvl w:val="0"/>
          <w:numId w:val="1007"/>
        </w:numPr>
      </w:pPr>
      <w:r>
        <w:t xml:space="preserve">$300 million of excess subsidiary capital</w:t>
      </w:r>
    </w:p>
    <w:p>
      <w:pPr>
        <w:pStyle w:val="Compact"/>
        <w:numPr>
          <w:ilvl w:val="0"/>
          <w:numId w:val="1007"/>
        </w:numPr>
      </w:pPr>
      <w:r>
        <w:t xml:space="preserve">$350 million above its targeted 375% risk-based capital ratio</w:t>
      </w:r>
    </w:p>
    <w:p>
      <w:pPr>
        <w:pStyle w:val="Compact"/>
        <w:numPr>
          <w:ilvl w:val="0"/>
          <w:numId w:val="1007"/>
        </w:numPr>
      </w:pPr>
      <w:r>
        <w:t xml:space="preserve">An estimated statutory RBC ratio of approximately 400%</w:t>
      </w:r>
    </w:p>
    <w:p>
      <w:pPr>
        <w:pStyle w:val="FirstParagraph"/>
      </w:pPr>
      <w:r>
        <w:t xml:space="preserve">The company returned $374 million during the first quarter, including $200 million of repurchases, and raised its quarterly dividend to $0.82 per share. (</w:t>
      </w:r>
      <w:hyperlink r:id="rId16">
        <w:r>
          <w:rPr>
            <w:rStyle w:val="Hyperlink"/>
          </w:rPr>
          <w:t xml:space="preserve">investors.principal.com</w:t>
        </w:r>
      </w:hyperlink>
      <w:r>
        <w:t xml:space="preserve">)</w:t>
      </w:r>
    </w:p>
    <w:p>
      <w:pPr>
        <w:pStyle w:val="BodyText"/>
      </w:pPr>
      <w:r>
        <w:t xml:space="preserve">The second-quarter report should provide updates on:</w:t>
      </w:r>
    </w:p>
    <w:p>
      <w:pPr>
        <w:pStyle w:val="Compact"/>
        <w:numPr>
          <w:ilvl w:val="0"/>
          <w:numId w:val="1008"/>
        </w:numPr>
      </w:pPr>
      <w:r>
        <w:t xml:space="preserve">Share-repurchase activity</w:t>
      </w:r>
    </w:p>
    <w:p>
      <w:pPr>
        <w:pStyle w:val="Compact"/>
        <w:numPr>
          <w:ilvl w:val="0"/>
          <w:numId w:val="1008"/>
        </w:numPr>
      </w:pPr>
      <w:r>
        <w:t xml:space="preserve">The next quarterly dividend</w:t>
      </w:r>
    </w:p>
    <w:p>
      <w:pPr>
        <w:pStyle w:val="Compact"/>
        <w:numPr>
          <w:ilvl w:val="0"/>
          <w:numId w:val="1008"/>
        </w:numPr>
      </w:pPr>
      <w:r>
        <w:t xml:space="preserve">Capital generation</w:t>
      </w:r>
    </w:p>
    <w:p>
      <w:pPr>
        <w:pStyle w:val="Compact"/>
        <w:numPr>
          <w:ilvl w:val="0"/>
          <w:numId w:val="1008"/>
        </w:numPr>
      </w:pPr>
      <w:r>
        <w:t xml:space="preserve">RBC and holding-company liquidity</w:t>
      </w:r>
    </w:p>
    <w:p>
      <w:pPr>
        <w:pStyle w:val="Compact"/>
        <w:numPr>
          <w:ilvl w:val="0"/>
          <w:numId w:val="1008"/>
        </w:numPr>
      </w:pPr>
      <w:r>
        <w:t xml:space="preserve">Potential bolt-on acquisitions</w:t>
      </w:r>
    </w:p>
    <w:p>
      <w:pPr>
        <w:pStyle w:val="Compact"/>
        <w:numPr>
          <w:ilvl w:val="0"/>
          <w:numId w:val="1008"/>
        </w:numPr>
      </w:pPr>
      <w:r>
        <w:t xml:space="preserve">Credit experience in the general-account investment portfolio</w:t>
      </w:r>
    </w:p>
    <w:p>
      <w:pPr>
        <w:pStyle w:val="FirstParagraph"/>
      </w:pPr>
      <w:r>
        <w:t xml:space="preserve">With the stock having appreciated materially, investors may also ask whether management intends to maintain the recent pace of buybacks or redirect more capital toward organic and inorganic growth.</w:t>
      </w:r>
    </w:p>
    <w:p>
      <w:r>
        <w:pict>
          <v:rect style="width:0;height:1.5pt" o:hralign="center" o:hrstd="t" o:hr="t"/>
        </w:pict>
      </w:r>
    </w:p>
    <w:bookmarkEnd w:id="22"/>
    <w:bookmarkStart w:id="23" w:name="Xb1b0b0e2c1a930717b26f41d3fce66bd98431e5"/>
    <w:p>
      <w:pPr>
        <w:pStyle w:val="Heading2"/>
      </w:pPr>
      <w:r>
        <w:t xml:space="preserve">6. Investment portfolio and private-credit scrutiny</w:t>
      </w:r>
    </w:p>
    <w:p>
      <w:pPr>
        <w:pStyle w:val="FirstParagraph"/>
      </w:pPr>
      <w:r>
        <w:t xml:space="preserve">PFG has emphasized that most of its private fixed-income holdings are investment grade and that direct-lending exposure is limited. Management also said portfolio performance remained better than long-term expectations in the first quarter.</w:t>
      </w:r>
    </w:p>
    <w:p>
      <w:pPr>
        <w:pStyle w:val="BodyText"/>
      </w:pPr>
      <w:r>
        <w:t xml:space="preserve">Nevertheless, private assets remain a likely discussion topic given elevated long-term yields and continued investor scrutiny of insurers’ less-liquid holdings.</w:t>
      </w:r>
    </w:p>
    <w:p>
      <w:pPr>
        <w:pStyle w:val="BodyText"/>
      </w:pPr>
      <w:r>
        <w:t xml:space="preserve">Watch for:</w:t>
      </w:r>
    </w:p>
    <w:p>
      <w:pPr>
        <w:pStyle w:val="Compact"/>
        <w:numPr>
          <w:ilvl w:val="0"/>
          <w:numId w:val="1009"/>
        </w:numPr>
      </w:pPr>
      <w:r>
        <w:t xml:space="preserve">Credit impairments and rating migrations</w:t>
      </w:r>
    </w:p>
    <w:p>
      <w:pPr>
        <w:pStyle w:val="Compact"/>
        <w:numPr>
          <w:ilvl w:val="0"/>
          <w:numId w:val="1009"/>
        </w:numPr>
      </w:pPr>
      <w:r>
        <w:t xml:space="preserve">Commercial real-estate performance</w:t>
      </w:r>
    </w:p>
    <w:p>
      <w:pPr>
        <w:pStyle w:val="Compact"/>
        <w:numPr>
          <w:ilvl w:val="0"/>
          <w:numId w:val="1009"/>
        </w:numPr>
      </w:pPr>
      <w:r>
        <w:t xml:space="preserve">Delinquencies or nonaccruals in private fixed income</w:t>
      </w:r>
    </w:p>
    <w:p>
      <w:pPr>
        <w:pStyle w:val="Compact"/>
        <w:numPr>
          <w:ilvl w:val="0"/>
          <w:numId w:val="1009"/>
        </w:numPr>
      </w:pPr>
      <w:r>
        <w:t xml:space="preserve">Changes in the allocation to private credit</w:t>
      </w:r>
    </w:p>
    <w:p>
      <w:pPr>
        <w:pStyle w:val="Compact"/>
        <w:numPr>
          <w:ilvl w:val="0"/>
          <w:numId w:val="1009"/>
        </w:numPr>
      </w:pPr>
      <w:r>
        <w:t xml:space="preserve">Management’s assessment of liquidity matching</w:t>
      </w:r>
    </w:p>
    <w:p>
      <w:pPr>
        <w:pStyle w:val="Compact"/>
        <w:numPr>
          <w:ilvl w:val="0"/>
          <w:numId w:val="1009"/>
        </w:numPr>
      </w:pPr>
      <w:r>
        <w:t xml:space="preserve">New-money yields and reinvestment benefits</w:t>
      </w:r>
    </w:p>
    <w:p>
      <w:pPr>
        <w:pStyle w:val="FirstParagraph"/>
      </w:pPr>
      <w:r>
        <w:t xml:space="preserve">Higher rates can improve new-money investment yields and spread earnings over time, but sharp rate moves also create valuation, credit and policyholder-behavior risks. The quality of PFG’s portfolio commentary may therefore matter nearly as much as the quarter’s realized credit losses.</w:t>
      </w:r>
    </w:p>
    <w:p>
      <w:r>
        <w:pict>
          <v:rect style="width:0;height:1.5pt" o:hralign="center" o:hrstd="t" o:hr="t"/>
        </w:pict>
      </w:r>
    </w:p>
    <w:bookmarkEnd w:id="23"/>
    <w:bookmarkStart w:id="24" w:name="what-could-drive-the-stock-higher"/>
    <w:p>
      <w:pPr>
        <w:pStyle w:val="Heading2"/>
      </w:pPr>
      <w:r>
        <w:t xml:space="preserve">What could drive the stock higher?</w:t>
      </w:r>
    </w:p>
    <w:p>
      <w:pPr>
        <w:pStyle w:val="FirstParagraph"/>
      </w:pPr>
      <w:r>
        <w:t xml:space="preserve">A clearly positive report would likely contain several of the following:</w:t>
      </w:r>
    </w:p>
    <w:p>
      <w:pPr>
        <w:pStyle w:val="Compact"/>
        <w:numPr>
          <w:ilvl w:val="0"/>
          <w:numId w:val="1010"/>
        </w:numPr>
      </w:pPr>
      <w:r>
        <w:t xml:space="preserve">Adjusted EPS above roughly</w:t>
      </w:r>
      <w:r>
        <w:t xml:space="preserve"> </w:t>
      </w:r>
      <w:r>
        <w:rPr>
          <w:b/>
          <w:bCs/>
        </w:rPr>
        <w:t xml:space="preserve">$2.32</w:t>
      </w:r>
    </w:p>
    <w:p>
      <w:pPr>
        <w:pStyle w:val="Compact"/>
        <w:numPr>
          <w:ilvl w:val="0"/>
          <w:numId w:val="1010"/>
        </w:numPr>
      </w:pPr>
      <w:r>
        <w:t xml:space="preserve">Limited reliance on favorable significant variances</w:t>
      </w:r>
    </w:p>
    <w:p>
      <w:pPr>
        <w:pStyle w:val="Compact"/>
        <w:numPr>
          <w:ilvl w:val="0"/>
          <w:numId w:val="1010"/>
        </w:numPr>
      </w:pPr>
      <w:r>
        <w:t xml:space="preserve">Investment Management flows improving alongside the preannounced AUM</w:t>
      </w:r>
    </w:p>
    <w:p>
      <w:pPr>
        <w:pStyle w:val="Compact"/>
        <w:numPr>
          <w:ilvl w:val="0"/>
          <w:numId w:val="1010"/>
        </w:numPr>
      </w:pPr>
      <w:r>
        <w:t xml:space="preserve">Funding of part of the $9 billion mandate pipeline</w:t>
      </w:r>
    </w:p>
    <w:p>
      <w:pPr>
        <w:pStyle w:val="Compact"/>
        <w:numPr>
          <w:ilvl w:val="0"/>
          <w:numId w:val="1010"/>
        </w:numPr>
      </w:pPr>
      <w:r>
        <w:t xml:space="preserve">Specialty Benefits loss ratio remaining unusually favorable despite Dental seasonality</w:t>
      </w:r>
    </w:p>
    <w:p>
      <w:pPr>
        <w:pStyle w:val="Compact"/>
        <w:numPr>
          <w:ilvl w:val="0"/>
          <w:numId w:val="1010"/>
        </w:numPr>
      </w:pPr>
      <w:r>
        <w:t xml:space="preserve">Premium growth accelerating</w:t>
      </w:r>
    </w:p>
    <w:p>
      <w:pPr>
        <w:pStyle w:val="Compact"/>
        <w:numPr>
          <w:ilvl w:val="0"/>
          <w:numId w:val="1010"/>
        </w:numPr>
      </w:pPr>
      <w:r>
        <w:t xml:space="preserve">RIS recurring deposits and retention remaining healthy</w:t>
      </w:r>
    </w:p>
    <w:p>
      <w:pPr>
        <w:pStyle w:val="Compact"/>
        <w:numPr>
          <w:ilvl w:val="0"/>
          <w:numId w:val="1010"/>
        </w:numPr>
      </w:pPr>
      <w:r>
        <w:t xml:space="preserve">Better variable investment income from real-estate activity</w:t>
      </w:r>
    </w:p>
    <w:p>
      <w:pPr>
        <w:pStyle w:val="Compact"/>
        <w:numPr>
          <w:ilvl w:val="0"/>
          <w:numId w:val="1010"/>
        </w:numPr>
      </w:pPr>
      <w:r>
        <w:t xml:space="preserve">2026 targets reaffirmed or management commentary implying results toward the upper half of the EPS-growth range</w:t>
      </w:r>
    </w:p>
    <w:p>
      <w:pPr>
        <w:pStyle w:val="Compact"/>
        <w:numPr>
          <w:ilvl w:val="0"/>
          <w:numId w:val="1010"/>
        </w:numPr>
      </w:pPr>
      <w:r>
        <w:t xml:space="preserve">Continued aggressive capital return without weakening RBC</w:t>
      </w:r>
    </w:p>
    <w:bookmarkEnd w:id="24"/>
    <w:bookmarkStart w:id="25" w:name="what-could-disappoint"/>
    <w:p>
      <w:pPr>
        <w:pStyle w:val="Heading2"/>
      </w:pPr>
      <w:r>
        <w:t xml:space="preserve">What could disappoint?</w:t>
      </w:r>
    </w:p>
    <w:p>
      <w:pPr>
        <w:pStyle w:val="Compact"/>
        <w:numPr>
          <w:ilvl w:val="0"/>
          <w:numId w:val="1011"/>
        </w:numPr>
      </w:pPr>
      <w:r>
        <w:t xml:space="preserve">Strong AUM but substantial underlying net outflows</w:t>
      </w:r>
    </w:p>
    <w:p>
      <w:pPr>
        <w:pStyle w:val="Compact"/>
        <w:numPr>
          <w:ilvl w:val="0"/>
          <w:numId w:val="1011"/>
        </w:numPr>
      </w:pPr>
      <w:r>
        <w:t xml:space="preserve">Continued U.S. active-equity redemptions</w:t>
      </w:r>
    </w:p>
    <w:p>
      <w:pPr>
        <w:pStyle w:val="Compact"/>
        <w:numPr>
          <w:ilvl w:val="0"/>
          <w:numId w:val="1011"/>
        </w:numPr>
      </w:pPr>
      <w:r>
        <w:t xml:space="preserve">Specialty Benefits loss ratio rising more than seasonal expectations</w:t>
      </w:r>
    </w:p>
    <w:p>
      <w:pPr>
        <w:pStyle w:val="Compact"/>
        <w:numPr>
          <w:ilvl w:val="0"/>
          <w:numId w:val="1011"/>
        </w:numPr>
      </w:pPr>
      <w:r>
        <w:t xml:space="preserve">A sharp normalization in Life earnings</w:t>
      </w:r>
    </w:p>
    <w:p>
      <w:pPr>
        <w:pStyle w:val="Compact"/>
        <w:numPr>
          <w:ilvl w:val="0"/>
          <w:numId w:val="1011"/>
        </w:numPr>
      </w:pPr>
      <w:r>
        <w:t xml:space="preserve">RIS margin moving below the targeted range</w:t>
      </w:r>
    </w:p>
    <w:p>
      <w:pPr>
        <w:pStyle w:val="Compact"/>
        <w:numPr>
          <w:ilvl w:val="0"/>
          <w:numId w:val="1011"/>
        </w:numPr>
      </w:pPr>
      <w:r>
        <w:t xml:space="preserve">Another weak quarter for real-estate realizations and variable investment income</w:t>
      </w:r>
    </w:p>
    <w:p>
      <w:pPr>
        <w:pStyle w:val="Compact"/>
        <w:numPr>
          <w:ilvl w:val="0"/>
          <w:numId w:val="1011"/>
        </w:numPr>
      </w:pPr>
      <w:r>
        <w:t xml:space="preserve">Higher corporate expenses</w:t>
      </w:r>
    </w:p>
    <w:p>
      <w:pPr>
        <w:pStyle w:val="Compact"/>
        <w:numPr>
          <w:ilvl w:val="0"/>
          <w:numId w:val="1011"/>
        </w:numPr>
      </w:pPr>
      <w:r>
        <w:t xml:space="preserve">Deteriorating credit commentary</w:t>
      </w:r>
    </w:p>
    <w:p>
      <w:pPr>
        <w:pStyle w:val="Compact"/>
        <w:numPr>
          <w:ilvl w:val="0"/>
          <w:numId w:val="1011"/>
        </w:numPr>
      </w:pPr>
      <w:r>
        <w:t xml:space="preserve">A slower pace of buybacks</w:t>
      </w:r>
    </w:p>
    <w:p>
      <w:pPr>
        <w:pStyle w:val="Compact"/>
        <w:numPr>
          <w:ilvl w:val="0"/>
          <w:numId w:val="1011"/>
        </w:numPr>
      </w:pPr>
      <w:r>
        <w:t xml:space="preserve">Management signaling that full-year EPS is tracking toward the low end of guidance</w:t>
      </w:r>
    </w:p>
    <w:p>
      <w:r>
        <w:pict>
          <v:rect style="width:0;height:1.5pt" o:hralign="center" o:hrstd="t" o:hr="t"/>
        </w:pict>
      </w:r>
    </w:p>
    <w:bookmarkEnd w:id="25"/>
    <w:bookmarkStart w:id="27" w:name="bottom-line"/>
    <w:p>
      <w:pPr>
        <w:pStyle w:val="Heading2"/>
      </w:pPr>
      <w:r>
        <w:t xml:space="preserve">Bottom line</w:t>
      </w:r>
    </w:p>
    <w:p>
      <w:pPr>
        <w:pStyle w:val="FirstParagraph"/>
      </w:pPr>
      <w:r>
        <w:t xml:space="preserve">PFG enters the report with</w:t>
      </w:r>
      <w:r>
        <w:t xml:space="preserve"> </w:t>
      </w:r>
      <w:r>
        <w:rPr>
          <w:b/>
          <w:bCs/>
        </w:rPr>
        <w:t xml:space="preserve">visible market-driven tailwinds, strong preannounced AUM and solid first-quarter execution</w:t>
      </w:r>
      <w:r>
        <w:t xml:space="preserve">. The company appears well positioned to meet its 2026 adjusted EPS-growth target, and the roughly $9.40 full-year consensus sits near the midpoint of management’s implied</w:t>
      </w:r>
      <w:r>
        <w:t xml:space="preserve"> </w:t>
      </w:r>
      <m:oMath>
        <m:r>
          <m:t>9.32</m:t>
        </m:r>
        <m:r>
          <m:rPr>
            <m:sty m:val="p"/>
          </m:rPr>
          <m:t>–</m:t>
        </m:r>
      </m:oMath>
      <w:r>
        <w:t xml:space="preserve">9.58 range. (</w:t>
      </w:r>
      <w:hyperlink r:id="rId26">
        <w:r>
          <w:rPr>
            <w:rStyle w:val="Hyperlink"/>
          </w:rPr>
          <w:t xml:space="preserve">investors.principal.com</w:t>
        </w:r>
      </w:hyperlink>
      <w:r>
        <w:t xml:space="preserve">)</w:t>
      </w:r>
    </w:p>
    <w:p>
      <w:pPr>
        <w:pStyle w:val="BodyText"/>
      </w:pPr>
      <w:r>
        <w:t xml:space="preserve">The central issue is no longer the headline AUM figure. Investors should focus on the underlying mix:</w:t>
      </w:r>
    </w:p>
    <w:p>
      <w:pPr>
        <w:pStyle w:val="Compact"/>
        <w:numPr>
          <w:ilvl w:val="0"/>
          <w:numId w:val="1012"/>
        </w:numPr>
      </w:pPr>
      <w:r>
        <w:rPr>
          <w:b/>
          <w:bCs/>
        </w:rPr>
        <w:t xml:space="preserve">Flows versus markets</w:t>
      </w:r>
    </w:p>
    <w:p>
      <w:pPr>
        <w:pStyle w:val="Compact"/>
        <w:numPr>
          <w:ilvl w:val="0"/>
          <w:numId w:val="1012"/>
        </w:numPr>
      </w:pPr>
      <w:r>
        <w:rPr>
          <w:b/>
          <w:bCs/>
        </w:rPr>
        <w:t xml:space="preserve">Sustainable underwriting versus favorable volatility</w:t>
      </w:r>
    </w:p>
    <w:p>
      <w:pPr>
        <w:pStyle w:val="Compact"/>
        <w:numPr>
          <w:ilvl w:val="0"/>
          <w:numId w:val="1012"/>
        </w:numPr>
      </w:pPr>
      <w:r>
        <w:rPr>
          <w:b/>
          <w:bCs/>
        </w:rPr>
        <w:t xml:space="preserve">Core margin discipline versus temporary benefits</w:t>
      </w:r>
    </w:p>
    <w:p>
      <w:pPr>
        <w:pStyle w:val="Compact"/>
        <w:numPr>
          <w:ilvl w:val="0"/>
          <w:numId w:val="1012"/>
        </w:numPr>
      </w:pPr>
      <w:r>
        <w:rPr>
          <w:b/>
          <w:bCs/>
        </w:rPr>
        <w:t xml:space="preserve">Recurring capital generation versus one-quarter realizations</w:t>
      </w:r>
    </w:p>
    <w:p>
      <w:pPr>
        <w:pStyle w:val="FirstParagraph"/>
      </w:pPr>
      <w:r>
        <w:t xml:space="preserve">Given the stock’s strong year-to-date performance, the bar is higher than it was in April. A clean beat with improving asset-management flows and resilient Benefits results could support further upside. A merely in-line quarter driven primarily by markets may be received more cautiously.</w:t>
      </w:r>
    </w:p>
    <w:bookmarkEnd w:id="27"/>
    <w:bookmarkEnd w:id="2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s://investors.principal.com/news-releases/news-release-details/principal-announce-second-quarter-2026-financial-results?utm_source=openai" TargetMode="External" /><Relationship Type="http://schemas.openxmlformats.org/officeDocument/2006/relationships/hyperlink" Id="rId16" Target="https://investors.principal.com/static-files/515326b0-df92-42b9-88b2-b93702850966" TargetMode="External" /><Relationship Type="http://schemas.openxmlformats.org/officeDocument/2006/relationships/hyperlink" Id="rId26" Target="https://investors.principal.com/static-files/f1292dfd-0bec-4de3-811f-1b4223ace70d?utm_source=openai" TargetMode="External" /><Relationship Type="http://schemas.openxmlformats.org/officeDocument/2006/relationships/hyperlink" Id="rId10" Target="https://www.benzinga.com/quote/PFG/earnings?utm_source=openai" TargetMode="External" /><Relationship Type="http://schemas.openxmlformats.org/officeDocument/2006/relationships/hyperlink" Id="rId13" Target="https://www.tipranks.com/news/company-announcements/principal-financial-reports-strong-q2-assets-under-management?utm_source=openai" TargetMode="External" /></Relationships>
</file>

<file path=word/_rels/footnotes.xml.rels><?xml version="1.0" encoding="UTF-8"?><Relationships xmlns="http://schemas.openxmlformats.org/package/2006/relationships"><Relationship Type="http://schemas.openxmlformats.org/officeDocument/2006/relationships/hyperlink" Id="rId9" Target="https://investors.principal.com/news-releases/news-release-details/principal-announce-second-quarter-2026-financial-results?utm_source=openai" TargetMode="External" /><Relationship Type="http://schemas.openxmlformats.org/officeDocument/2006/relationships/hyperlink" Id="rId16" Target="https://investors.principal.com/static-files/515326b0-df92-42b9-88b2-b93702850966" TargetMode="External" /><Relationship Type="http://schemas.openxmlformats.org/officeDocument/2006/relationships/hyperlink" Id="rId26" Target="https://investors.principal.com/static-files/f1292dfd-0bec-4de3-811f-1b4223ace70d?utm_source=openai" TargetMode="External" /><Relationship Type="http://schemas.openxmlformats.org/officeDocument/2006/relationships/hyperlink" Id="rId10" Target="https://www.benzinga.com/quote/PFG/earnings?utm_source=openai" TargetMode="External" /><Relationship Type="http://schemas.openxmlformats.org/officeDocument/2006/relationships/hyperlink" Id="rId13" Target="https://www.tipranks.com/news/company-announcements/principal-financial-reports-strong-q2-assets-under-management?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2026-07-27T00:21:51Z</dcterms:created>
  <dcterms:modified xsi:type="dcterms:W3CDTF">2026-07-27T00:21:51Z</dcterms:modified>
</cp:coreProperties>
</file>

<file path=docProps/custom.xml><?xml version="1.0" encoding="utf-8"?>
<Properties xmlns="http://schemas.openxmlformats.org/officeDocument/2006/custom-properties" xmlns:vt="http://schemas.openxmlformats.org/officeDocument/2006/docPropsVTypes"/>
</file>