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pfg-2q26-earnings-preview"/>
    <w:p>
      <w:pPr>
        <w:pStyle w:val="Heading1"/>
      </w:pPr>
      <w:r>
        <w:t xml:space="preserve">PFG 2Q26 Earnings Preview</w:t>
      </w:r>
    </w:p>
    <w:p>
      <w:pPr>
        <w:pStyle w:val="BlockText"/>
      </w:pPr>
      <w:r>
        <w:rPr>
          <w:b/>
          <w:bCs/>
        </w:rPr>
        <w:t xml:space="preserve">Timing correction:</w:t>
      </w:r>
      <w:r>
        <w:t xml:space="preserve"> </w:t>
      </w:r>
      <w:r>
        <w:t xml:space="preserve">PFG reports</w:t>
      </w:r>
      <w:r>
        <w:t xml:space="preserve"> </w:t>
      </w:r>
      <w:r>
        <w:rPr>
          <w:b/>
          <w:bCs/>
        </w:rPr>
        <w:t xml:space="preserve">after the U.S. market closes today, Monday, July 27, 2026</w:t>
      </w:r>
      <w:r>
        <w:t xml:space="preserve">—not tomorrow. Management will host the earnings call at</w:t>
      </w:r>
      <w:r>
        <w:t xml:space="preserve"> </w:t>
      </w:r>
      <w:r>
        <w:rPr>
          <w:b/>
          <w:bCs/>
        </w:rPr>
        <w:t xml:space="preserve">10:00 a.m. ET on Tuesday, July 28</w:t>
      </w:r>
      <w:r>
        <w:t xml:space="preserve">. (</w:t>
      </w:r>
      <w:hyperlink r:id="rId9">
        <w:r>
          <w:rPr>
            <w:rStyle w:val="Hyperlink"/>
          </w:rPr>
          <w:t xml:space="preserve">principal.gcs-web.com</w:t>
        </w:r>
      </w:hyperlink>
      <w:r>
        <w:t xml:space="preserve">)</w:t>
      </w:r>
    </w:p>
    <w:bookmarkStart w:id="11" w:name="bottom-line"/>
    <w:p>
      <w:pPr>
        <w:pStyle w:val="Heading2"/>
      </w:pPr>
      <w:r>
        <w:t xml:space="preserve">Bottom line</w:t>
      </w:r>
    </w:p>
    <w:p>
      <w:pPr>
        <w:pStyle w:val="FirstParagraph"/>
      </w:pPr>
      <w:r>
        <w:t xml:space="preserve">Principal Financial enters the print with</w:t>
      </w:r>
      <w:r>
        <w:t xml:space="preserve"> </w:t>
      </w:r>
      <w:r>
        <w:rPr>
          <w:b/>
          <w:bCs/>
        </w:rPr>
        <w:t xml:space="preserve">good operating momentum and a very favorable AUM backdrop</w:t>
      </w:r>
      <w:r>
        <w:t xml:space="preserve">, but expectations are no longer low. The central question is less whether PFG can produce a respectable EPS result and more whether it can demonstrate that higher markets, foreign-exchange tailwinds, improving asset-management activity, and continued capital return are translating into earnings durable enough to support its full-year targets.</w:t>
      </w:r>
    </w:p>
    <w:p>
      <w:pPr>
        <w:pStyle w:val="BodyText"/>
      </w:pPr>
      <w:r>
        <w:t xml:space="preserve">A third-party consensus aggregator puts 2Q26 EPS at approximately</w:t>
      </w:r>
      <w:r>
        <w:t xml:space="preserve"> </w:t>
      </w:r>
      <w:r>
        <w:rPr>
          <w:b/>
          <w:bCs/>
        </w:rPr>
        <w:t xml:space="preserve">$2.32</w:t>
      </w:r>
      <w:r>
        <w:t xml:space="preserve">. That is roughly 7% above PFG’s reported 2Q25 operating EPS of $2.16, but about 12% above the prior-year $2.07 result excluding significant variances—a more demanding comparison. (</w:t>
      </w:r>
      <w:hyperlink r:id="rId10">
        <w:r>
          <w:rPr>
            <w:rStyle w:val="Hyperlink"/>
          </w:rPr>
          <w:t xml:space="preserve">benzinga.com</w:t>
        </w:r>
      </w:hyperlink>
      <w:r>
        <w:t xml:space="preserve">)</w:t>
      </w:r>
    </w:p>
    <w:bookmarkEnd w:id="11"/>
    <w:bookmarkStart w:id="19" w:name="what-matters-most-this-quarter"/>
    <w:p>
      <w:pPr>
        <w:pStyle w:val="Heading2"/>
      </w:pPr>
      <w:r>
        <w:t xml:space="preserve">What matters most this quarter</w:t>
      </w:r>
    </w:p>
    <w:bookmarkStart w:id="13" w:name="X7e06d10266a8a4ebbee69bb6f33a9e03644351d"/>
    <w:p>
      <w:pPr>
        <w:pStyle w:val="Heading3"/>
      </w:pPr>
      <w:r>
        <w:t xml:space="preserve">1. AUM is a clear revenue tailwind—but flows will determine the quality</w:t>
      </w:r>
    </w:p>
    <w:p>
      <w:pPr>
        <w:pStyle w:val="FirstParagraph"/>
      </w:pPr>
      <w:r>
        <w:t xml:space="preserve">PFG has already disclosed</w:t>
      </w:r>
      <w:r>
        <w:t xml:space="preserve"> </w:t>
      </w:r>
      <w:r>
        <w:rPr>
          <w:b/>
          <w:bCs/>
        </w:rPr>
        <w:t xml:space="preserve">June 30 AUM of</w:t>
      </w:r>
      <w:r>
        <w:rPr>
          <w:b/>
          <w:bCs/>
        </w:rPr>
        <w:t xml:space="preserve"> </w:t>
      </w:r>
      <m:oMath>
        <m:r>
          <m:t>808.0</m:t>
        </m:r>
        <m:r>
          <m:t>b</m:t>
        </m:r>
        <m:r>
          <m:t>i</m:t>
        </m:r>
        <m:r>
          <m:t>l</m:t>
        </m:r>
        <m:r>
          <m:t>l</m:t>
        </m:r>
        <m:r>
          <m:t>i</m:t>
        </m:r>
        <m:r>
          <m:t>o</m:t>
        </m:r>
        <m:r>
          <m:t>n</m:t>
        </m:r>
        <m:r>
          <m:rPr>
            <m:sty m:val="p"/>
          </m:rPr>
          <m:t>*</m:t>
        </m:r>
        <m:r>
          <m:rPr>
            <m:sty m:val="p"/>
          </m:rPr>
          <m:t>*</m:t>
        </m:r>
        <m:r>
          <m:rPr>
            <m:sty m:val="p"/>
          </m:rPr>
          <m:t>,</m:t>
        </m:r>
        <m:r>
          <m:t>u</m:t>
        </m:r>
        <m:r>
          <m:t>p</m:t>
        </m:r>
        <m:r>
          <m:t>f</m:t>
        </m:r>
        <m:r>
          <m:t>r</m:t>
        </m:r>
        <m:r>
          <m:t>o</m:t>
        </m:r>
        <m:r>
          <m:t>m</m:t>
        </m:r>
        <m:r>
          <m:rPr>
            <m:sty m:val="p"/>
          </m:rPr>
          <m:t>*</m:t>
        </m:r>
        <m:r>
          <m:rPr>
            <m:sty m:val="p"/>
          </m:rPr>
          <m:t>*</m:t>
        </m:r>
      </m:oMath>
      <w:r>
        <w:rPr>
          <w:b/>
          <w:bCs/>
        </w:rPr>
        <w:t xml:space="preserve">770.2 billion</w:t>
      </w:r>
      <w:r>
        <w:t xml:space="preserve"> </w:t>
      </w:r>
      <w:r>
        <w:t xml:space="preserve">at March 31. Investment Management AUM was $601.9 billion and International Pension AUM was $168.5 billion. The company said market performance, FX translation, and other non-flow factors added an unusually strong</w:t>
      </w:r>
      <w:r>
        <w:t xml:space="preserve"> </w:t>
      </w:r>
      <w:r>
        <w:rPr>
          <w:b/>
          <w:bCs/>
        </w:rPr>
        <w:t xml:space="preserve">6.4% of beginning-period AUM</w:t>
      </w:r>
      <w:r>
        <w:t xml:space="preserve"> </w:t>
      </w:r>
      <w:r>
        <w:t xml:space="preserve">during the quarter. (</w:t>
      </w:r>
      <w:hyperlink r:id="rId12">
        <w:r>
          <w:rPr>
            <w:rStyle w:val="Hyperlink"/>
          </w:rPr>
          <w:t xml:space="preserve">advfn.com</w:t>
        </w:r>
      </w:hyperlink>
      <w:r>
        <w:t xml:space="preserve">)</w:t>
      </w:r>
    </w:p>
    <w:p>
      <w:pPr>
        <w:pStyle w:val="BodyText"/>
      </w:pPr>
      <w:r>
        <w:t xml:space="preserve">That is unequivocally supportive for fee revenue, particularly in Investment Management and International Pension. However, it also means investors should separate</w:t>
      </w:r>
      <w:r>
        <w:t xml:space="preserve"> </w:t>
      </w:r>
      <w:r>
        <w:rPr>
          <w:b/>
          <w:bCs/>
        </w:rPr>
        <w:t xml:space="preserve">market/FX appreciation</w:t>
      </w:r>
      <w:r>
        <w:t xml:space="preserve"> </w:t>
      </w:r>
      <w:r>
        <w:t xml:space="preserve">from</w:t>
      </w:r>
      <w:r>
        <w:t xml:space="preserve"> </w:t>
      </w:r>
      <w:r>
        <w:rPr>
          <w:b/>
          <w:bCs/>
        </w:rPr>
        <w:t xml:space="preserve">net client flows</w:t>
      </w:r>
      <w:r>
        <w:t xml:space="preserve">:</w:t>
      </w:r>
    </w:p>
    <w:p>
      <w:pPr>
        <w:pStyle w:val="Compact"/>
        <w:numPr>
          <w:ilvl w:val="0"/>
          <w:numId w:val="1001"/>
        </w:numPr>
      </w:pPr>
      <w:r>
        <w:t xml:space="preserve">A $37.8 billion sequential AUM increase is constructive.</w:t>
      </w:r>
    </w:p>
    <w:p>
      <w:pPr>
        <w:pStyle w:val="Compact"/>
        <w:numPr>
          <w:ilvl w:val="0"/>
          <w:numId w:val="1001"/>
        </w:numPr>
      </w:pPr>
      <w:r>
        <w:t xml:space="preserve">But the disclosed 6.4% non-flow uplift is larger than the net AUM increase, implying that aggregate flows could again be meaningfully negative, depending on classification and other AUM movements.</w:t>
      </w:r>
    </w:p>
    <w:p>
      <w:pPr>
        <w:pStyle w:val="Compact"/>
        <w:numPr>
          <w:ilvl w:val="0"/>
          <w:numId w:val="1001"/>
        </w:numPr>
      </w:pPr>
      <w:r>
        <w:t xml:space="preserve">The key issue is whether redemptions in U.S. active equity strategies, noted in 1Q, are easing as management anticipated.</w:t>
      </w:r>
    </w:p>
    <w:p>
      <w:pPr>
        <w:pStyle w:val="FirstParagraph"/>
      </w:pPr>
      <w:r>
        <w:rPr>
          <w:b/>
          <w:bCs/>
        </w:rPr>
        <w:t xml:space="preserve">Investor read-through:</w:t>
      </w:r>
      <w:r>
        <w:t xml:space="preserve"> </w:t>
      </w:r>
      <w:r>
        <w:t xml:space="preserve">AUM is already known; the incremental surprise is likely to come from net flows, sales pipelines, and management’s outlook for conversion of committed mandates into funded assets.</w:t>
      </w:r>
    </w:p>
    <w:bookmarkEnd w:id="13"/>
    <w:bookmarkStart w:id="15" w:name="X5433035ee75c26adaf1e98135581cdc4a86fe64"/>
    <w:p>
      <w:pPr>
        <w:pStyle w:val="Heading3"/>
      </w:pPr>
      <w:r>
        <w:t xml:space="preserve">2. Specialty Benefits should normalize from an exceptionally strong 1Q</w:t>
      </w:r>
    </w:p>
    <w:p>
      <w:pPr>
        <w:pStyle w:val="FirstParagraph"/>
      </w:pPr>
      <w:r>
        <w:t xml:space="preserve">Specialty Benefits was the standout in 1Q: pre-tax operating earnings rose 29% year over year, while the incurred loss ratio improved to</w:t>
      </w:r>
      <w:r>
        <w:t xml:space="preserve"> </w:t>
      </w:r>
      <w:r>
        <w:rPr>
          <w:b/>
          <w:bCs/>
        </w:rPr>
        <w:t xml:space="preserve">58.5%</w:t>
      </w:r>
      <w:r>
        <w:t xml:space="preserve"> </w:t>
      </w:r>
      <w:r>
        <w:t xml:space="preserve">from 60.7%. That result benefited from unusually favorable Group Life and Dental experience. Management explicitly warned that the second quarter is seasonally the highest quarter for Dental claims, so the loss ratio should rise sequentially. (</w:t>
      </w:r>
      <w:hyperlink r:id="rId14">
        <w:r>
          <w:rPr>
            <w:rStyle w:val="Hyperlink"/>
          </w:rPr>
          <w:t xml:space="preserve">investors.principal.com</w:t>
        </w:r>
      </w:hyperlink>
      <w:r>
        <w:t xml:space="preserve">)</w:t>
      </w:r>
    </w:p>
    <w:p>
      <w:pPr>
        <w:pStyle w:val="BodyText"/>
      </w:pPr>
      <w:r>
        <w:t xml:space="preserve">The important distinction:</w:t>
      </w:r>
    </w:p>
    <w:p>
      <w:pPr>
        <w:pStyle w:val="Compact"/>
        <w:numPr>
          <w:ilvl w:val="0"/>
          <w:numId w:val="1002"/>
        </w:numPr>
      </w:pPr>
      <w:r>
        <w:rPr>
          <w:b/>
          <w:bCs/>
        </w:rPr>
        <w:t xml:space="preserve">A moderate loss-ratio rebound is expected and not necessarily negative.</w:t>
      </w:r>
    </w:p>
    <w:p>
      <w:pPr>
        <w:pStyle w:val="Compact"/>
        <w:numPr>
          <w:ilvl w:val="0"/>
          <w:numId w:val="1002"/>
        </w:numPr>
      </w:pPr>
      <w:r>
        <w:t xml:space="preserve">A much sharper deterioration, especially in Dental or Group Life, would call into question how much of the 1Q margin expansion was sustainable.</w:t>
      </w:r>
    </w:p>
    <w:p>
      <w:pPr>
        <w:pStyle w:val="Compact"/>
        <w:numPr>
          <w:ilvl w:val="0"/>
          <w:numId w:val="1002"/>
        </w:numPr>
      </w:pPr>
      <w:r>
        <w:t xml:space="preserve">Premium and fee growth should improve through 2026, according to prior management commentary; evidence of that acceleration would offset a more normal seasonal claims pattern.</w:t>
      </w:r>
    </w:p>
    <w:bookmarkEnd w:id="15"/>
    <w:bookmarkStart w:id="16" w:name="Xa73536444187e2e0021a9065a17a6052bf519f1"/>
    <w:p>
      <w:pPr>
        <w:pStyle w:val="Heading3"/>
      </w:pPr>
      <w:r>
        <w:t xml:space="preserve">3. International Pension and Investment Management have the best upside levers</w:t>
      </w:r>
    </w:p>
    <w:p>
      <w:pPr>
        <w:pStyle w:val="FirstParagraph"/>
      </w:pPr>
      <w:r>
        <w:t xml:space="preserve">International Pension entered 2026 with strong AUM growth, positive first-quarter net flows, and FX tailwinds. In 1Q, earnings also included a roughly</w:t>
      </w:r>
      <w:r>
        <w:t xml:space="preserve"> </w:t>
      </w:r>
      <m:oMath>
        <m:r>
          <m:t>7</m:t>
        </m:r>
        <m:r>
          <m:t>m</m:t>
        </m:r>
        <m:r>
          <m:t>i</m:t>
        </m:r>
        <m:r>
          <m:t>l</m:t>
        </m:r>
        <m:r>
          <m:t>l</m:t>
        </m:r>
        <m:r>
          <m:t>i</m:t>
        </m:r>
        <m:r>
          <m:t>o</m:t>
        </m:r>
        <m:r>
          <m:t>n</m:t>
        </m:r>
        <m:r>
          <m:t>p</m:t>
        </m:r>
        <m:r>
          <m:t>e</m:t>
        </m:r>
        <m:r>
          <m:t>r</m:t>
        </m:r>
        <m:r>
          <m:t>f</m:t>
        </m:r>
        <m:r>
          <m:t>o</m:t>
        </m:r>
        <m:r>
          <m:t>r</m:t>
        </m:r>
        <m:r>
          <m:t>m</m:t>
        </m:r>
        <m:r>
          <m:t>a</m:t>
        </m:r>
        <m:r>
          <m:t>n</m:t>
        </m:r>
        <m:r>
          <m:t>c</m:t>
        </m:r>
        <m:r>
          <m:t>e</m:t>
        </m:r>
        <m:r>
          <m:rPr>
            <m:sty m:val="p"/>
          </m:rPr>
          <m:t>−</m:t>
        </m:r>
        <m:r>
          <m:t>f</m:t>
        </m:r>
        <m:r>
          <m:t>e</m:t>
        </m:r>
        <m:r>
          <m:t>e</m:t>
        </m:r>
        <m:r>
          <m:t>b</m:t>
        </m:r>
        <m:r>
          <m:t>e</m:t>
        </m:r>
        <m:r>
          <m:t>n</m:t>
        </m:r>
        <m:r>
          <m:t>e</m:t>
        </m:r>
        <m:r>
          <m:t>f</m:t>
        </m:r>
        <m:r>
          <m:t>i</m:t>
        </m:r>
        <m:r>
          <m:t>t</m:t>
        </m:r>
        <m:r>
          <m:rPr>
            <m:sty m:val="p"/>
          </m:rPr>
          <m:t>;</m:t>
        </m:r>
        <m:r>
          <m:t>m</m:t>
        </m:r>
        <m:r>
          <m:t>a</m:t>
        </m:r>
        <m:r>
          <m:t>n</m:t>
        </m:r>
        <m:r>
          <m:t>a</m:t>
        </m:r>
        <m:r>
          <m:t>g</m:t>
        </m:r>
        <m:r>
          <m:t>e</m:t>
        </m:r>
        <m:r>
          <m:t>m</m:t>
        </m:r>
        <m:r>
          <m:t>e</m:t>
        </m:r>
        <m:r>
          <m:t>n</m:t>
        </m:r>
        <m:r>
          <m:t>t</m:t>
        </m:r>
        <m:r>
          <m:t>c</m:t>
        </m:r>
        <m:r>
          <m:t>h</m:t>
        </m:r>
        <m:r>
          <m:t>a</m:t>
        </m:r>
        <m:r>
          <m:t>r</m:t>
        </m:r>
        <m:r>
          <m:t>a</m:t>
        </m:r>
        <m:r>
          <m:t>c</m:t>
        </m:r>
        <m:r>
          <m:t>t</m:t>
        </m:r>
        <m:r>
          <m:t>e</m:t>
        </m:r>
        <m:r>
          <m:t>r</m:t>
        </m:r>
        <m:r>
          <m:t>i</m:t>
        </m:r>
        <m:r>
          <m:t>z</m:t>
        </m:r>
        <m:r>
          <m:t>e</m:t>
        </m:r>
        <m:r>
          <m:t>d</m:t>
        </m:r>
        <m:r>
          <m:t>a</m:t>
        </m:r>
        <m:r>
          <m:t>m</m:t>
        </m:r>
        <m:r>
          <m:t>o</m:t>
        </m:r>
        <m:r>
          <m:t>r</m:t>
        </m:r>
        <m:r>
          <m:t>e</m:t>
        </m:r>
        <m:r>
          <m:t>s</m:t>
        </m:r>
        <m:r>
          <m:t>u</m:t>
        </m:r>
        <m:r>
          <m:t>s</m:t>
        </m:r>
        <m:r>
          <m:t>t</m:t>
        </m:r>
        <m:r>
          <m:t>a</m:t>
        </m:r>
        <m:r>
          <m:t>i</m:t>
        </m:r>
        <m:r>
          <m:t>n</m:t>
        </m:r>
        <m:r>
          <m:t>a</m:t>
        </m:r>
        <m:r>
          <m:t>b</m:t>
        </m:r>
        <m:r>
          <m:t>l</m:t>
        </m:r>
        <m:r>
          <m:t>e</m:t>
        </m:r>
        <m:r>
          <m:t>q</m:t>
        </m:r>
        <m:r>
          <m:t>u</m:t>
        </m:r>
        <m:r>
          <m:t>a</m:t>
        </m:r>
        <m:r>
          <m:t>r</m:t>
        </m:r>
        <m:r>
          <m:t>t</m:t>
        </m:r>
        <m:r>
          <m:t>e</m:t>
        </m:r>
        <m:r>
          <m:t>r</m:t>
        </m:r>
        <m:r>
          <m:t>l</m:t>
        </m:r>
        <m:r>
          <m:t>y</m:t>
        </m:r>
        <m:r>
          <m:t>r</m:t>
        </m:r>
        <m:r>
          <m:t>u</m:t>
        </m:r>
        <m:r>
          <m:t>n</m:t>
        </m:r>
        <m:r>
          <m:t>r</m:t>
        </m:r>
        <m:r>
          <m:t>a</m:t>
        </m:r>
        <m:r>
          <m:t>t</m:t>
        </m:r>
        <m:r>
          <m:t>e</m:t>
        </m:r>
        <m:r>
          <m:t>a</m:t>
        </m:r>
        <m:r>
          <m:t>s</m:t>
        </m:r>
        <m:r>
          <m:t>t</m:t>
        </m:r>
        <m:r>
          <m:t>h</m:t>
        </m:r>
        <m:r>
          <m:t>e</m:t>
        </m:r>
        <m:r>
          <m:rPr>
            <m:sty m:val="p"/>
          </m:rPr>
          <m:t>“</m:t>
        </m:r>
        <m:r>
          <m:t>m</m:t>
        </m:r>
        <m:r>
          <m:t>i</m:t>
        </m:r>
        <m:r>
          <m:t>d</m:t>
        </m:r>
        <m:r>
          <m:rPr>
            <m:sty m:val="p"/>
          </m:rPr>
          <m:t>−</m:t>
        </m:r>
      </m:oMath>
      <w:r>
        <w:t xml:space="preserve">70 millions” rather than the approximately $80 million adjusted result. Thus, investors should look for continued growth but avoid extrapolating the first-quarter level mechanically.</w:t>
      </w:r>
    </w:p>
    <w:p>
      <w:pPr>
        <w:pStyle w:val="BodyText"/>
      </w:pPr>
      <w:r>
        <w:t xml:space="preserve">For Investment Management, the setup is mixed:</w:t>
      </w:r>
    </w:p>
    <w:p>
      <w:pPr>
        <w:pStyle w:val="Compact"/>
        <w:numPr>
          <w:ilvl w:val="0"/>
          <w:numId w:val="1003"/>
        </w:numPr>
      </w:pPr>
      <w:r>
        <w:t xml:space="preserve">Positives: record 1Q gross sales, private-market and ETF inflows, international client momentum, and a more than $9 billion commitment pipeline.</w:t>
      </w:r>
    </w:p>
    <w:p>
      <w:pPr>
        <w:pStyle w:val="Compact"/>
        <w:numPr>
          <w:ilvl w:val="0"/>
          <w:numId w:val="1003"/>
        </w:numPr>
      </w:pPr>
      <w:r>
        <w:t xml:space="preserve">Risk: client redemptions have offset much of the gross-sales strength, particularly within a small group of U.S. active-equity mutual funds.</w:t>
      </w:r>
    </w:p>
    <w:p>
      <w:pPr>
        <w:pStyle w:val="Compact"/>
        <w:numPr>
          <w:ilvl w:val="0"/>
          <w:numId w:val="1003"/>
        </w:numPr>
      </w:pPr>
      <w:r>
        <w:t xml:space="preserve">Additional upside could come from improved real-estate transaction activity and variable investment income, which were weak in 1Q but expected by management to improve over the balance of 2026.</w:t>
      </w:r>
    </w:p>
    <w:p>
      <w:pPr>
        <w:pStyle w:val="FirstParagraph"/>
      </w:pPr>
      <w:r>
        <w:t xml:space="preserve">The market will likely reward evidence that sales are converting into</w:t>
      </w:r>
      <w:r>
        <w:t xml:space="preserve"> </w:t>
      </w:r>
      <w:r>
        <w:rPr>
          <w:b/>
          <w:bCs/>
        </w:rPr>
        <w:t xml:space="preserve">better net-flow performance</w:t>
      </w:r>
      <w:r>
        <w:t xml:space="preserve">, not simply another quarter of strong gross sales.</w:t>
      </w:r>
    </w:p>
    <w:bookmarkEnd w:id="16"/>
    <w:bookmarkStart w:id="18" w:name="X8bec799c304514cd033b571f2a8e6a556b54c33"/>
    <w:p>
      <w:pPr>
        <w:pStyle w:val="Heading3"/>
      </w:pPr>
      <w:r>
        <w:t xml:space="preserve">4. Capital return and full-year guidance are likely as important as EPS</w:t>
      </w:r>
    </w:p>
    <w:p>
      <w:pPr>
        <w:pStyle w:val="FirstParagraph"/>
      </w:pPr>
      <w:r>
        <w:t xml:space="preserve">PFG’s formal 2026 objectives are: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2026 target</w:t>
            </w:r>
          </w:p>
        </w:tc>
        <w:tc>
          <w:tcPr/>
          <w:p>
            <w:pPr>
              <w:pStyle w:val="Compact"/>
              <w:jc w:val="right"/>
            </w:pPr>
            <w:r>
              <w:t xml:space="preserve">Target</w:t>
            </w:r>
          </w:p>
        </w:tc>
      </w:tr>
      <w:tr>
        <w:tc>
          <w:tcPr/>
          <w:p>
            <w:pPr>
              <w:pStyle w:val="Compact"/>
            </w:pPr>
            <w:r>
              <w:t xml:space="preserve">Non-GAAP operating EPS growth</w:t>
            </w:r>
          </w:p>
        </w:tc>
        <w:tc>
          <w:tcPr/>
          <w:p>
            <w:pPr>
              <w:pStyle w:val="Compact"/>
              <w:jc w:val="right"/>
            </w:pPr>
            <w:r>
              <w:t xml:space="preserve">9%–12%</w:t>
            </w:r>
          </w:p>
        </w:tc>
      </w:tr>
      <w:tr>
        <w:tc>
          <w:tcPr/>
          <w:p>
            <w:pPr>
              <w:pStyle w:val="Compact"/>
            </w:pPr>
            <w:r>
              <w:t xml:space="preserve">Free-capital-flow conversion</w:t>
            </w:r>
          </w:p>
        </w:tc>
        <w:tc>
          <w:tcPr/>
          <w:p>
            <w:pPr>
              <w:pStyle w:val="Compact"/>
              <w:jc w:val="right"/>
            </w:pPr>
            <w:r>
              <w:t xml:space="preserve">75%–85%</w:t>
            </w:r>
          </w:p>
        </w:tc>
      </w:tr>
      <w:tr>
        <w:tc>
          <w:tcPr/>
          <w:p>
            <w:pPr>
              <w:pStyle w:val="Compact"/>
            </w:pPr>
            <w:r>
              <w:t xml:space="preserve">Non-GAAP ROE</w:t>
            </w:r>
          </w:p>
        </w:tc>
        <w:tc>
          <w:tcPr/>
          <w:p>
            <w:pPr>
              <w:pStyle w:val="Compact"/>
              <w:jc w:val="right"/>
            </w:pPr>
            <w:r>
              <w:t xml:space="preserve">15%–17%</w:t>
            </w:r>
          </w:p>
        </w:tc>
      </w:tr>
      <w:tr>
        <w:tc>
          <w:tcPr/>
          <w:p>
            <w:pPr>
              <w:pStyle w:val="Compact"/>
            </w:pPr>
            <w:r>
              <w:t xml:space="preserve">Total capital deployment</w:t>
            </w:r>
          </w:p>
        </w:tc>
        <w:tc>
          <w:tcPr/>
          <w:p>
            <w:pPr>
              <w:pStyle w:val="Compact"/>
              <w:jc w:val="right"/>
            </w:pPr>
            <m:oMath>
              <m:r>
                <m:t>1.5</m:t>
              </m:r>
              <m:r>
                <m:t>B</m:t>
              </m:r>
              <m:r>
                <m:rPr>
                  <m:sty m:val="p"/>
                </m:rPr>
                <m:t>–</m:t>
              </m:r>
            </m:oMath>
            <w:r>
              <w:t xml:space="preserve">1.8B</w:t>
            </w:r>
          </w:p>
        </w:tc>
      </w:tr>
      <w:tr>
        <w:tc>
          <w:tcPr/>
          <w:p>
            <w:pPr>
              <w:pStyle w:val="Compact"/>
            </w:pPr>
            <w:r>
              <w:t xml:space="preserve">Share repurchases</w:t>
            </w:r>
          </w:p>
        </w:tc>
        <w:tc>
          <w:tcPr/>
          <w:p>
            <w:pPr>
              <w:pStyle w:val="Compact"/>
              <w:jc w:val="right"/>
            </w:pPr>
            <m:oMath>
              <m:r>
                <m:t>0.8</m:t>
              </m:r>
              <m:r>
                <m:t>B</m:t>
              </m:r>
              <m:r>
                <m:rPr>
                  <m:sty m:val="p"/>
                </m:rPr>
                <m:t>–</m:t>
              </m:r>
            </m:oMath>
            <w:r>
              <w:t xml:space="preserve">1.1B</w:t>
            </w:r>
          </w:p>
        </w:tc>
      </w:tr>
      <w:tr>
        <w:tc>
          <w:tcPr/>
          <w:p>
            <w:pPr>
              <w:pStyle w:val="Compact"/>
            </w:pPr>
            <w:r>
              <w:t xml:space="preserve">Dividend payout ratio</w:t>
            </w:r>
          </w:p>
        </w:tc>
        <w:tc>
          <w:tcPr/>
          <w:p>
            <w:pPr>
              <w:pStyle w:val="Compact"/>
              <w:jc w:val="right"/>
            </w:pPr>
            <w:r>
              <w:t xml:space="preserve">40%</w:t>
            </w:r>
          </w:p>
        </w:tc>
      </w:tr>
    </w:tbl>
    <w:p>
      <w:pPr>
        <w:pStyle w:val="BodyText"/>
      </w:pPr>
      <w:r>
        <w:t xml:space="preserve">(</w:t>
      </w:r>
      <w:hyperlink r:id="rId17">
        <w:r>
          <w:rPr>
            <w:rStyle w:val="Hyperlink"/>
          </w:rPr>
          <w:t xml:space="preserve">investors.principal.com</w:t>
        </w:r>
      </w:hyperlink>
      <w:r>
        <w:t xml:space="preserve">)</w:t>
      </w:r>
    </w:p>
    <w:p>
      <w:pPr>
        <w:pStyle w:val="BodyText"/>
      </w:pPr>
      <w:r>
        <w:t xml:space="preserve">PFG began the year well: first-quarter adjusted operating EPS excluding significant variances was</w:t>
      </w:r>
      <w:r>
        <w:t xml:space="preserve"> </w:t>
      </w:r>
      <m:oMath>
        <m:r>
          <m:t>2.17</m:t>
        </m:r>
        <m:r>
          <m:rPr>
            <m:sty m:val="p"/>
          </m:rPr>
          <m:t>*</m:t>
        </m:r>
        <m:r>
          <m:rPr>
            <m:sty m:val="p"/>
          </m:rPr>
          <m:t>*</m:t>
        </m:r>
        <m:r>
          <m:rPr>
            <m:sty m:val="p"/>
          </m:rPr>
          <m:t>,</m:t>
        </m:r>
        <m:r>
          <m:t>u</m:t>
        </m:r>
        <m:r>
          <m:t>p</m:t>
        </m:r>
        <m:r>
          <m:t>13</m:t>
        </m:r>
      </m:oMath>
      <w:r>
        <w:rPr>
          <w:b/>
          <w:bCs/>
        </w:rPr>
        <w:t xml:space="preserve">374 million</w:t>
      </w:r>
      <w:r>
        <w:t xml:space="preserve"> </w:t>
      </w:r>
      <w:r>
        <w:t xml:space="preserve">to shareholders, including $200 million of repurchases. It ended the quarter with $1.45 billion of excess and available capital and an estimated RBC ratio around 400%, above its 375% target. (</w:t>
      </w:r>
      <w:hyperlink r:id="rId14">
        <w:r>
          <w:rPr>
            <w:rStyle w:val="Hyperlink"/>
          </w:rPr>
          <w:t xml:space="preserve">investors.principal.com</w:t>
        </w:r>
      </w:hyperlink>
      <w:r>
        <w:t xml:space="preserve">)</w:t>
      </w:r>
    </w:p>
    <w:p>
      <w:pPr>
        <w:pStyle w:val="BodyText"/>
      </w:pPr>
      <w:r>
        <w:t xml:space="preserve">Therefore, the report needs to address:</w:t>
      </w:r>
    </w:p>
    <w:p>
      <w:pPr>
        <w:pStyle w:val="Compact"/>
        <w:numPr>
          <w:ilvl w:val="0"/>
          <w:numId w:val="1004"/>
        </w:numPr>
      </w:pPr>
      <w:r>
        <w:rPr>
          <w:b/>
          <w:bCs/>
        </w:rPr>
        <w:t xml:space="preserve">Is the 9%–12% EPS-growth target unchanged?</w:t>
      </w:r>
    </w:p>
    <w:p>
      <w:pPr>
        <w:pStyle w:val="Compact"/>
        <w:numPr>
          <w:ilvl w:val="0"/>
          <w:numId w:val="1004"/>
        </w:numPr>
      </w:pPr>
      <w:r>
        <w:rPr>
          <w:b/>
          <w:bCs/>
        </w:rPr>
        <w:t xml:space="preserve">Will buybacks accelerate from the $200 million first-quarter pace?</w:t>
      </w:r>
    </w:p>
    <w:p>
      <w:pPr>
        <w:pStyle w:val="Compact"/>
        <w:numPr>
          <w:ilvl w:val="0"/>
          <w:numId w:val="1004"/>
        </w:numPr>
      </w:pPr>
      <w:r>
        <w:rPr>
          <w:b/>
          <w:bCs/>
        </w:rPr>
        <w:t xml:space="preserve">Is there another quarterly dividend increase?</w:t>
      </w:r>
    </w:p>
    <w:p>
      <w:pPr>
        <w:pStyle w:val="Compact"/>
        <w:numPr>
          <w:ilvl w:val="0"/>
          <w:numId w:val="1004"/>
        </w:numPr>
      </w:pPr>
      <w:r>
        <w:rPr>
          <w:b/>
          <w:bCs/>
        </w:rPr>
        <w:t xml:space="preserve">Does management still see enough variable investment income and real-estate realization activity to support the year?</w:t>
      </w:r>
    </w:p>
    <w:p>
      <w:pPr>
        <w:pStyle w:val="FirstParagraph"/>
      </w:pPr>
      <w:r>
        <w:t xml:space="preserve">A maintained outlook plus an assertive capital-return message would reinforce the bull case. Any guidance caution tied to flows, underwriting, or market-sensitive revenue would likely matter more than a small EPS beat or miss.</w:t>
      </w:r>
    </w:p>
    <w:bookmarkEnd w:id="18"/>
    <w:bookmarkEnd w:id="19"/>
    <w:bookmarkStart w:id="20" w:name="valuation-and-positioning-context"/>
    <w:p>
      <w:pPr>
        <w:pStyle w:val="Heading2"/>
      </w:pPr>
      <w:r>
        <w:t xml:space="preserve">Valuation and positioning context</w:t>
      </w:r>
    </w:p>
    <w:p>
      <w:pPr>
        <w:pStyle w:val="FirstParagraph"/>
      </w:pPr>
      <w:r>
        <w:t xml:space="preserve">PFG closed at</w:t>
      </w:r>
      <w:r>
        <w:t xml:space="preserve"> </w:t>
      </w:r>
      <w:r>
        <w:rPr>
          <w:b/>
          <w:bCs/>
        </w:rPr>
        <w:t xml:space="preserve">$109.43 on Friday, July 24</w:t>
      </w:r>
      <w:r>
        <w:t xml:space="preserve">, the last available close before the report. The stock was up about</w:t>
      </w:r>
      <w:r>
        <w:t xml:space="preserve"> </w:t>
      </w:r>
      <w:r>
        <w:rPr>
          <w:b/>
          <w:bCs/>
        </w:rPr>
        <w:t xml:space="preserve">24.1%</w:t>
      </w:r>
      <w:r>
        <w:t xml:space="preserve"> </w:t>
      </w:r>
      <w:r>
        <w:t xml:space="preserve">from the December 31, 2025 close, versus roughly</w:t>
      </w:r>
      <w:r>
        <w:t xml:space="preserve"> </w:t>
      </w:r>
      <w:r>
        <w:rPr>
          <w:b/>
          <w:bCs/>
        </w:rPr>
        <w:t xml:space="preserve">8.4%</w:t>
      </w:r>
      <w:r>
        <w:t xml:space="preserve"> </w:t>
      </w:r>
      <w:r>
        <w:t xml:space="preserve">for the S&amp;P 500 ETF over the same period.</w:t>
      </w:r>
    </w:p>
    <w:p>
      <w:pPr>
        <w:pStyle w:val="BodyText"/>
      </w:pPr>
      <w:r>
        <w:t xml:space="preserve">That outperformance raises the bar: investors may require not only an EPS beat, but also confirmation that:</w:t>
      </w:r>
    </w:p>
    <w:p>
      <w:pPr>
        <w:pStyle w:val="Compact"/>
        <w:numPr>
          <w:ilvl w:val="0"/>
          <w:numId w:val="1005"/>
        </w:numPr>
      </w:pPr>
      <w:r>
        <w:t xml:space="preserve">AUM gains will become fee revenue;</w:t>
      </w:r>
    </w:p>
    <w:p>
      <w:pPr>
        <w:pStyle w:val="Compact"/>
        <w:numPr>
          <w:ilvl w:val="0"/>
          <w:numId w:val="1005"/>
        </w:numPr>
      </w:pPr>
      <w:r>
        <w:t xml:space="preserve">flows are stabilizing;</w:t>
      </w:r>
    </w:p>
    <w:p>
      <w:pPr>
        <w:pStyle w:val="Compact"/>
        <w:numPr>
          <w:ilvl w:val="0"/>
          <w:numId w:val="1005"/>
        </w:numPr>
      </w:pPr>
      <w:r>
        <w:t xml:space="preserve">Specialty Benefits remains profitable after seasonal normalization; and</w:t>
      </w:r>
    </w:p>
    <w:p>
      <w:pPr>
        <w:pStyle w:val="Compact"/>
        <w:numPr>
          <w:ilvl w:val="0"/>
          <w:numId w:val="1005"/>
        </w:numPr>
      </w:pPr>
      <w:r>
        <w:t xml:space="preserve">2026 capital deployment remains on track.</w:t>
      </w:r>
    </w:p>
    <w:bookmarkEnd w:id="20"/>
    <w:bookmarkStart w:id="21" w:name="earnings-day-scorecard"/>
    <w:p>
      <w:pPr>
        <w:pStyle w:val="Heading2"/>
      </w:pPr>
      <w:r>
        <w:t xml:space="preserve">Earnings-day scorecard</w:t>
      </w:r>
    </w:p>
    <w:p>
      <w:pPr>
        <w:pStyle w:val="FirstParagraph"/>
      </w:pPr>
      <w:r>
        <w:rPr>
          <w:b/>
          <w:bCs/>
        </w:rPr>
        <w:t xml:space="preserve">Bullish outcome</w:t>
      </w:r>
    </w:p>
    <w:p>
      <w:pPr>
        <w:pStyle w:val="Compact"/>
        <w:numPr>
          <w:ilvl w:val="0"/>
          <w:numId w:val="1006"/>
        </w:numPr>
      </w:pPr>
      <w:r>
        <w:t xml:space="preserve">EPS above the roughly $2.32 consensus;</w:t>
      </w:r>
    </w:p>
    <w:p>
      <w:pPr>
        <w:pStyle w:val="Compact"/>
        <w:numPr>
          <w:ilvl w:val="0"/>
          <w:numId w:val="1006"/>
        </w:numPr>
      </w:pPr>
      <w:r>
        <w:t xml:space="preserve">net flows materially better than implied by the AUM bridge;</w:t>
      </w:r>
    </w:p>
    <w:p>
      <w:pPr>
        <w:pStyle w:val="Compact"/>
        <w:numPr>
          <w:ilvl w:val="0"/>
          <w:numId w:val="1006"/>
        </w:numPr>
      </w:pPr>
      <w:r>
        <w:t xml:space="preserve">Specialty Benefits loss ratio remains controlled despite Dental seasonality;</w:t>
      </w:r>
    </w:p>
    <w:p>
      <w:pPr>
        <w:pStyle w:val="Compact"/>
        <w:numPr>
          <w:ilvl w:val="0"/>
          <w:numId w:val="1006"/>
        </w:numPr>
      </w:pPr>
      <w:r>
        <w:t xml:space="preserve">solid Investment Management fee growth and an improving flow outlook;</w:t>
      </w:r>
    </w:p>
    <w:p>
      <w:pPr>
        <w:pStyle w:val="Compact"/>
        <w:numPr>
          <w:ilvl w:val="0"/>
          <w:numId w:val="1006"/>
        </w:numPr>
      </w:pPr>
      <w:r>
        <w:t xml:space="preserve">2026 targets reaffirmed, with robust repurchases/dividend action.</w:t>
      </w:r>
    </w:p>
    <w:p>
      <w:pPr>
        <w:pStyle w:val="FirstParagraph"/>
      </w:pPr>
      <w:r>
        <w:rPr>
          <w:b/>
          <w:bCs/>
        </w:rPr>
        <w:t xml:space="preserve">More neutral outcome</w:t>
      </w:r>
    </w:p>
    <w:p>
      <w:pPr>
        <w:pStyle w:val="Compact"/>
        <w:numPr>
          <w:ilvl w:val="0"/>
          <w:numId w:val="1007"/>
        </w:numPr>
      </w:pPr>
      <w:r>
        <w:t xml:space="preserve">EPS meets expectations mainly through AUM/FX;</w:t>
      </w:r>
    </w:p>
    <w:p>
      <w:pPr>
        <w:pStyle w:val="Compact"/>
        <w:numPr>
          <w:ilvl w:val="0"/>
          <w:numId w:val="1007"/>
        </w:numPr>
      </w:pPr>
      <w:r>
        <w:t xml:space="preserve">negative flows persist but do not worsen;</w:t>
      </w:r>
    </w:p>
    <w:p>
      <w:pPr>
        <w:pStyle w:val="Compact"/>
        <w:numPr>
          <w:ilvl w:val="0"/>
          <w:numId w:val="1007"/>
        </w:numPr>
      </w:pPr>
      <w:r>
        <w:t xml:space="preserve">Specialty Benefits normalizes as expected;</w:t>
      </w:r>
    </w:p>
    <w:p>
      <w:pPr>
        <w:pStyle w:val="Compact"/>
        <w:numPr>
          <w:ilvl w:val="0"/>
          <w:numId w:val="1007"/>
        </w:numPr>
      </w:pPr>
      <w:r>
        <w:t xml:space="preserve">guidance is maintained but management gives limited visibility on real-estate monetization or investment-management flows.</w:t>
      </w:r>
    </w:p>
    <w:p>
      <w:pPr>
        <w:pStyle w:val="FirstParagraph"/>
      </w:pPr>
      <w:r>
        <w:rPr>
          <w:b/>
          <w:bCs/>
        </w:rPr>
        <w:t xml:space="preserve">Bearish outcome</w:t>
      </w:r>
    </w:p>
    <w:p>
      <w:pPr>
        <w:pStyle w:val="Compact"/>
        <w:numPr>
          <w:ilvl w:val="0"/>
          <w:numId w:val="1008"/>
        </w:numPr>
      </w:pPr>
      <w:r>
        <w:t xml:space="preserve">AUM strength proves mostly market/FX-driven while outflows accelerate;</w:t>
      </w:r>
    </w:p>
    <w:p>
      <w:pPr>
        <w:pStyle w:val="Compact"/>
        <w:numPr>
          <w:ilvl w:val="0"/>
          <w:numId w:val="1008"/>
        </w:numPr>
      </w:pPr>
      <w:r>
        <w:t xml:space="preserve">Dental or Group Life claims reverse sharply;</w:t>
      </w:r>
    </w:p>
    <w:p>
      <w:pPr>
        <w:pStyle w:val="Compact"/>
        <w:numPr>
          <w:ilvl w:val="0"/>
          <w:numId w:val="1008"/>
        </w:numPr>
      </w:pPr>
      <w:r>
        <w:t xml:space="preserve">variable investment income or performance fees disappoint again;</w:t>
      </w:r>
    </w:p>
    <w:p>
      <w:pPr>
        <w:pStyle w:val="Compact"/>
        <w:numPr>
          <w:ilvl w:val="0"/>
          <w:numId w:val="1008"/>
        </w:numPr>
      </w:pPr>
      <w:r>
        <w:t xml:space="preserve">management qualifies its EPS, capital-return, or free-cash-flow outlook.</w:t>
      </w:r>
    </w:p>
    <w:bookmarkEnd w:id="21"/>
    <w:bookmarkStart w:id="22" w:name="investment-view-into-the-print"/>
    <w:p>
      <w:pPr>
        <w:pStyle w:val="Heading2"/>
      </w:pPr>
      <w:r>
        <w:t xml:space="preserve">Investment view into the print</w:t>
      </w:r>
    </w:p>
    <w:p>
      <w:pPr>
        <w:pStyle w:val="FirstParagraph"/>
      </w:pPr>
      <w:r>
        <w:t xml:space="preserve">PFG’s setup is</w:t>
      </w:r>
      <w:r>
        <w:t xml:space="preserve"> </w:t>
      </w:r>
      <w:r>
        <w:rPr>
          <w:b/>
          <w:bCs/>
        </w:rPr>
        <w:t xml:space="preserve">constructive but expectation-sensitive</w:t>
      </w:r>
      <w:r>
        <w:t xml:space="preserve">. The disclosed AUM result provides a meaningful tailwind and supports fee earnings, while capital remains ample and the company’s diversified model gives it multiple earnings levers. The principal risk is that investors see the AUM increase as largely market-driven while underlying flows, underwriting normalization, and variable investment income fail to validate the higher earnings trajectory.</w:t>
      </w:r>
    </w:p>
    <w:p>
      <w:pPr>
        <w:pStyle w:val="BodyText"/>
      </w:pPr>
      <w:r>
        <w:t xml:space="preserve">The highest-value data points on the call will be</w:t>
      </w:r>
      <w:r>
        <w:t xml:space="preserve"> </w:t>
      </w:r>
      <w:r>
        <w:rPr>
          <w:b/>
          <w:bCs/>
        </w:rPr>
        <w:t xml:space="preserve">net flows, Specialty Benefits loss ratio, Investment Management revenue/margin, International Pension normalization, variable investment income, and the firmness of full-year guidance</w:t>
      </w:r>
      <w:r>
        <w:t xml:space="preserve">.</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4" Target="https://investors.principal.com/news-releases/news-release-details/principal-financial-group-announces-first-quarter-2026-results?utm_source=openai" TargetMode="External" /><Relationship Type="http://schemas.openxmlformats.org/officeDocument/2006/relationships/hyperlink" Id="rId17" Target="https://investors.principal.com/news-releases/news-release-details/principal-financial-group-announces-full-year-and-fourth-0?utm_source=openai" TargetMode="External" /><Relationship Type="http://schemas.openxmlformats.org/officeDocument/2006/relationships/hyperlink" Id="rId9" Target="https://principal.gcs-web.com/news-releases/news-release-details/principal-announce-second-quarter-2026-financial-results?utm_source=openai" TargetMode="External" /><Relationship Type="http://schemas.openxmlformats.org/officeDocument/2006/relationships/hyperlink" Id="rId12" Target="https://www.advfn.com/stock-market/NASDAQ/PFG/stock-news/98948988/form-8-k-current-report?utm_source=openai" TargetMode="External" /><Relationship Type="http://schemas.openxmlformats.org/officeDocument/2006/relationships/hyperlink" Id="rId10" Target="https://www.benzinga.com/quote/PFG/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14" Target="https://investors.principal.com/news-releases/news-release-details/principal-financial-group-announces-first-quarter-2026-results?utm_source=openai" TargetMode="External" /><Relationship Type="http://schemas.openxmlformats.org/officeDocument/2006/relationships/hyperlink" Id="rId17" Target="https://investors.principal.com/news-releases/news-release-details/principal-financial-group-announces-full-year-and-fourth-0?utm_source=openai" TargetMode="External" /><Relationship Type="http://schemas.openxmlformats.org/officeDocument/2006/relationships/hyperlink" Id="rId9" Target="https://principal.gcs-web.com/news-releases/news-release-details/principal-announce-second-quarter-2026-financial-results?utm_source=openai" TargetMode="External" /><Relationship Type="http://schemas.openxmlformats.org/officeDocument/2006/relationships/hyperlink" Id="rId12" Target="https://www.advfn.com/stock-market/NASDAQ/PFG/stock-news/98948988/form-8-k-current-report?utm_source=openai" TargetMode="External" /><Relationship Type="http://schemas.openxmlformats.org/officeDocument/2006/relationships/hyperlink" Id="rId10" Target="https://www.benzinga.com/quote/PFG/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2026-07-27T00:22:09Z</dcterms:created>
  <dcterms:modified xsi:type="dcterms:W3CDTF">2026-07-27T00:22:09Z</dcterms:modified>
</cp:coreProperties>
</file>

<file path=docProps/custom.xml><?xml version="1.0" encoding="utf-8"?>
<Properties xmlns="http://schemas.openxmlformats.org/officeDocument/2006/custom-properties" xmlns:vt="http://schemas.openxmlformats.org/officeDocument/2006/docPropsVTypes"/>
</file>