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Principal Financial Group (PFG)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Principal Financial Group, Inc.</w:t>
            </w:r>
          </w:p>
        </w:tc>
      </w:tr>
      <w:tr>
        <w:tc>
          <w:tcPr>
            <w:tcW w:type="dxa" w:w="4320"/>
          </w:tcPr>
          <w:p>
            <w:r>
              <w:rPr>
                <w:rFonts w:ascii="Calibri" w:hAnsi="Calibri"/>
                <w:b/>
                <w:sz w:val="22"/>
              </w:rPr>
              <w:t>Ticker</w:t>
            </w:r>
          </w:p>
        </w:tc>
        <w:tc>
          <w:tcPr>
            <w:tcW w:type="dxa" w:w="4320"/>
          </w:tcPr>
          <w:p>
            <w:r>
              <w:rPr>
                <w:rFonts w:ascii="Calibri" w:hAnsi="Calibri"/>
                <w:sz w:val="22"/>
              </w:rPr>
              <w:t>PFG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Release</w:t>
            </w:r>
          </w:p>
        </w:tc>
        <w:tc>
          <w:tcPr>
            <w:tcW w:type="dxa" w:w="4320"/>
          </w:tcPr>
          <w:p>
            <w:r>
              <w:rPr>
                <w:rFonts w:ascii="Calibri" w:hAnsi="Calibri"/>
                <w:sz w:val="22"/>
              </w:rPr>
              <w:t>July 27, 2026 — After Market Close</w:t>
            </w:r>
          </w:p>
        </w:tc>
      </w:tr>
      <w:tr>
        <w:tc>
          <w:tcPr>
            <w:tcW w:type="dxa" w:w="4320"/>
          </w:tcPr>
          <w:p>
            <w:r>
              <w:rPr>
                <w:rFonts w:ascii="Calibri" w:hAnsi="Calibri"/>
                <w:b/>
                <w:sz w:val="22"/>
              </w:rPr>
              <w:t>Earnings Call</w:t>
            </w:r>
          </w:p>
        </w:tc>
        <w:tc>
          <w:tcPr>
            <w:tcW w:type="dxa" w:w="4320"/>
          </w:tcPr>
          <w:p>
            <w:r>
              <w:rPr>
                <w:rFonts w:ascii="Calibri" w:hAnsi="Calibri"/>
                <w:sz w:val="22"/>
              </w:rPr>
              <w:t>July 28, 2026 — 10:00 AM ET</w:t>
            </w:r>
          </w:p>
        </w:tc>
      </w:tr>
      <w:tr>
        <w:tc>
          <w:tcPr>
            <w:tcW w:type="dxa" w:w="4320"/>
          </w:tcPr>
          <w:p>
            <w:r>
              <w:rPr>
                <w:rFonts w:ascii="Calibri" w:hAnsi="Calibri"/>
                <w:b/>
                <w:sz w:val="22"/>
              </w:rPr>
              <w:t>Prepared</w:t>
            </w:r>
          </w:p>
        </w:tc>
        <w:tc>
          <w:tcPr>
            <w:tcW w:type="dxa" w:w="4320"/>
          </w:tcPr>
          <w:p>
            <w:r>
              <w:rPr>
                <w:rFonts w:ascii="Calibri" w:hAnsi="Calibri"/>
                <w:sz w:val="22"/>
              </w:rPr>
              <w:t>July 26,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is a beatable bar on EPS, but the bigger swing factor is whether the Specialty Benefits loss ratio normalizes as guided (seasonally higher in Q2) and whether Investment Management net cash flows show any improvement from the deeply negative Q1 print.</w:t>
      </w:r>
    </w:p>
    <w:p>
      <w:r>
        <w:rPr>
          <w:rFonts w:ascii="Calibri" w:hAnsi="Calibri"/>
          <w:color w:val="525866"/>
          <w:sz w:val="22"/>
        </w:rPr>
        <w:t xml:space="preserve">Heading into Q2 2026, the bar for PFG looks achievable but not easy. Consensus Operating EPS sits at $2.34, implying ~8% YoY growth off a $2.16 comp — a reasonable ask given the company's track record of beating on EPS (beat in 6 of the last 8 quarters). Management's tone on the Q1 call was constructive: CEO Deanna Strable and CFO Joel Pitz both reaffirmed 2026 financial targets with confidence, and the company's pre-quarter AUM disclosure (July 20) showed total managed AUM of $808 billion as of June 30, up ~5% from Q1's $770 billion, driven by a 6.4% positive market/FX impact — a meaningful tailwind for fee-based earnings in RIS and Investment Management. Estimate revisions have been modestly positive since the Q1 print, with FY2026 Operating EPS consensus edging up from $9.34 to $9.44, suggesting the Street is incrementally more confident in the full-year delivery. The stock has outperformed both the insurance sector ETF (IAK) and the S&amp;P 500 since Q1 earnings (+12.8% vs. +11.0% and +4.3%, respectively), meaning some beat is already priced in and the stock is trading above the average analyst price target of ~$103. The key wildcard is </w:t>
      </w:r>
      <w:r>
        <w:rPr>
          <w:rFonts w:ascii="Calibri" w:hAnsi="Calibri"/>
          <w:b/>
          <w:color w:val="525866"/>
          <w:sz w:val="22"/>
        </w:rPr>
        <w:t>Investment Management net cash flows</w:t>
      </w:r>
      <w:r>
        <w:rPr>
          <w:rFonts w:ascii="Calibri" w:hAnsi="Calibri"/>
          <w:color w:val="525866"/>
          <w:sz w:val="22"/>
        </w:rPr>
        <w:t>: consensus expects roughly -$5.5 billion in Q2 (a significant deterioration from Q1's -$2.9 billion), and any improvement vs. that depressed bar — or a worse-than-expected print — will likely be the single biggest driver of the stock's reaction on results day.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Operating EPS of $2.34 is a beatable bar given PFG's consistent beat history, but the Specialty Benefits loss ratio (guided to rise seasonally in Q2) and Investment Management net cash flows (consensus at -$5.5B, a sharp deterioration) are the two biggest swing factors for the print.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w:t>
            </w:r>
          </w:p>
        </w:tc>
        <w:tc>
          <w:tcPr>
            <w:tcW w:type="dxa" w:w="1234"/>
          </w:tcPr>
          <w:p>
            <w:r>
              <w:rPr>
                <w:rFonts w:ascii="Calibri" w:hAnsi="Calibri"/>
                <w:sz w:val="22"/>
              </w:rPr>
              <w:t>$2.07</w:t>
            </w:r>
          </w:p>
        </w:tc>
        <w:tc>
          <w:tcPr>
            <w:tcW w:type="dxa" w:w="1234"/>
          </w:tcPr>
          <w:p>
            <w:r>
              <w:rPr>
                <w:rFonts w:ascii="Calibri" w:hAnsi="Calibri"/>
                <w:sz w:val="22"/>
              </w:rPr>
              <w:t>$2.16</w:t>
            </w:r>
          </w:p>
        </w:tc>
        <w:tc>
          <w:tcPr>
            <w:tcW w:type="dxa" w:w="1234"/>
          </w:tcPr>
          <w:p>
            <w:r>
              <w:rPr>
                <w:rFonts w:ascii="Calibri" w:hAnsi="Calibri"/>
                <w:sz w:val="22"/>
              </w:rPr>
              <w:t>$2.34</w:t>
            </w:r>
          </w:p>
        </w:tc>
        <w:tc>
          <w:tcPr>
            <w:tcW w:type="dxa" w:w="1234"/>
          </w:tcPr>
          <w:p>
            <w:r>
              <w:rPr>
                <w:rFonts w:ascii="Calibri" w:hAnsi="Calibri"/>
                <w:sz w:val="22"/>
              </w:rPr>
              <w:t>+8.3%</w:t>
            </w:r>
          </w:p>
        </w:tc>
        <w:tc>
          <w:tcPr>
            <w:tcW w:type="dxa" w:w="1234"/>
          </w:tcPr>
          <w:p>
            <w:r>
              <w:rPr>
                <w:rFonts w:ascii="Calibri" w:hAnsi="Calibri"/>
                <w:sz w:val="22"/>
              </w:rPr>
              <w:t>FY2026 target range (management reaffirmed)</w:t>
            </w:r>
          </w:p>
        </w:tc>
        <w:tc>
          <w:tcPr>
            <w:tcW w:type="dxa" w:w="1234"/>
          </w:tcPr>
          <w:p>
            <w:r>
              <w:rPr>
                <w:rFonts w:ascii="Calibri" w:hAnsi="Calibri"/>
                <w:sz w:val="22"/>
              </w:rPr>
              <w:t>On track vs. FY guidance</w:t>
            </w:r>
          </w:p>
        </w:tc>
      </w:tr>
      <w:tr>
        <w:tc>
          <w:tcPr>
            <w:tcW w:type="dxa" w:w="1234"/>
          </w:tcPr>
          <w:p>
            <w:r>
              <w:rPr>
                <w:rFonts w:ascii="Calibri" w:hAnsi="Calibri"/>
                <w:sz w:val="22"/>
              </w:rPr>
              <w:t>Core EPS (Diluted)</w:t>
            </w:r>
          </w:p>
        </w:tc>
        <w:tc>
          <w:tcPr>
            <w:tcW w:type="dxa" w:w="1234"/>
          </w:tcPr>
          <w:p>
            <w:r>
              <w:rPr>
                <w:rFonts w:ascii="Calibri" w:hAnsi="Calibri"/>
                <w:sz w:val="22"/>
              </w:rPr>
              <w:t>$2.17</w:t>
            </w:r>
          </w:p>
        </w:tc>
        <w:tc>
          <w:tcPr>
            <w:tcW w:type="dxa" w:w="1234"/>
          </w:tcPr>
          <w:p>
            <w:r>
              <w:rPr>
                <w:rFonts w:ascii="Calibri" w:hAnsi="Calibri"/>
                <w:sz w:val="22"/>
              </w:rPr>
              <w:t>$2.07</w:t>
            </w:r>
          </w:p>
        </w:tc>
        <w:tc>
          <w:tcPr>
            <w:tcW w:type="dxa" w:w="1234"/>
          </w:tcPr>
          <w:p>
            <w:r>
              <w:rPr>
                <w:rFonts w:ascii="Calibri" w:hAnsi="Calibri"/>
                <w:sz w:val="22"/>
              </w:rPr>
              <w:t>$2.35</w:t>
            </w:r>
          </w:p>
        </w:tc>
        <w:tc>
          <w:tcPr>
            <w:tcW w:type="dxa" w:w="1234"/>
          </w:tcPr>
          <w:p>
            <w:r>
              <w:rPr>
                <w:rFonts w:ascii="Calibri" w:hAnsi="Calibri"/>
                <w:sz w:val="22"/>
              </w:rPr>
              <w:t>+13.5%</w:t>
            </w:r>
          </w:p>
        </w:tc>
        <w:tc>
          <w:tcPr>
            <w:tcW w:type="dxa" w:w="1234"/>
          </w:tcPr>
          <w:p>
            <w:r>
              <w:rPr>
                <w:rFonts w:ascii="Calibri" w:hAnsi="Calibri"/>
                <w:sz w:val="22"/>
              </w:rPr>
              <w:t>N/A (no specific Q2 guidance)</w:t>
            </w:r>
          </w:p>
        </w:tc>
        <w:tc>
          <w:tcPr>
            <w:tcW w:type="dxa" w:w="1234"/>
          </w:tcPr>
          <w:p>
            <w:r>
              <w:rPr>
                <w:rFonts w:ascii="Calibri" w:hAnsi="Calibri"/>
                <w:sz w:val="22"/>
              </w:rPr>
              <w:t>N/A</w:t>
            </w:r>
          </w:p>
        </w:tc>
      </w:tr>
      <w:tr>
        <w:tc>
          <w:tcPr>
            <w:tcW w:type="dxa" w:w="1234"/>
          </w:tcPr>
          <w:p>
            <w:r>
              <w:rPr>
                <w:rFonts w:ascii="Calibri" w:hAnsi="Calibri"/>
                <w:sz w:val="22"/>
              </w:rPr>
              <w:t>Total AUM — Principal Asset Management ($B)</w:t>
            </w:r>
          </w:p>
        </w:tc>
        <w:tc>
          <w:tcPr>
            <w:tcW w:type="dxa" w:w="1234"/>
          </w:tcPr>
          <w:p>
            <w:r>
              <w:rPr>
                <w:rFonts w:ascii="Calibri" w:hAnsi="Calibri"/>
                <w:sz w:val="22"/>
              </w:rPr>
              <w:t>$737.6B</w:t>
            </w:r>
          </w:p>
        </w:tc>
        <w:tc>
          <w:tcPr>
            <w:tcW w:type="dxa" w:w="1234"/>
          </w:tcPr>
          <w:p>
            <w:r>
              <w:rPr>
                <w:rFonts w:ascii="Calibri" w:hAnsi="Calibri"/>
                <w:sz w:val="22"/>
              </w:rPr>
              <w:t>$723.0B</w:t>
            </w:r>
          </w:p>
        </w:tc>
        <w:tc>
          <w:tcPr>
            <w:tcW w:type="dxa" w:w="1234"/>
          </w:tcPr>
          <w:p>
            <w:r>
              <w:rPr>
                <w:rFonts w:ascii="Calibri" w:hAnsi="Calibri"/>
                <w:sz w:val="22"/>
              </w:rPr>
              <w:t>$769.1B</w:t>
            </w:r>
          </w:p>
        </w:tc>
        <w:tc>
          <w:tcPr>
            <w:tcW w:type="dxa" w:w="1234"/>
          </w:tcPr>
          <w:p>
            <w:r>
              <w:rPr>
                <w:rFonts w:ascii="Calibri" w:hAnsi="Calibri"/>
                <w:sz w:val="22"/>
              </w:rPr>
              <w:t>+6.4%</w:t>
            </w:r>
          </w:p>
        </w:tc>
        <w:tc>
          <w:tcPr>
            <w:tcW w:type="dxa" w:w="1234"/>
          </w:tcPr>
          <w:p>
            <w:r>
              <w:rPr>
                <w:rFonts w:ascii="Calibri" w:hAnsi="Calibri"/>
                <w:sz w:val="22"/>
              </w:rPr>
              <w:t>N/A (no specific Q2 guidance)</w:t>
            </w:r>
          </w:p>
        </w:tc>
        <w:tc>
          <w:tcPr>
            <w:tcW w:type="dxa" w:w="1234"/>
          </w:tcPr>
          <w:p>
            <w:r>
              <w:rPr>
                <w:rFonts w:ascii="Calibri" w:hAnsi="Calibri"/>
                <w:sz w:val="22"/>
              </w:rPr>
              <w:t>N/A</w:t>
            </w:r>
          </w:p>
        </w:tc>
      </w:tr>
      <w:tr>
        <w:tc>
          <w:tcPr>
            <w:tcW w:type="dxa" w:w="1234"/>
          </w:tcPr>
          <w:p>
            <w:r>
              <w:rPr>
                <w:rFonts w:ascii="Calibri" w:hAnsi="Calibri"/>
                <w:sz w:val="22"/>
              </w:rPr>
              <w:t>Net Cash Flows — Investment Management ($M)</w:t>
            </w:r>
          </w:p>
        </w:tc>
        <w:tc>
          <w:tcPr>
            <w:tcW w:type="dxa" w:w="1234"/>
          </w:tcPr>
          <w:p>
            <w:r>
              <w:rPr>
                <w:rFonts w:ascii="Calibri" w:hAnsi="Calibri"/>
                <w:sz w:val="22"/>
              </w:rPr>
              <w:t>-$2,900M</w:t>
            </w:r>
          </w:p>
        </w:tc>
        <w:tc>
          <w:tcPr>
            <w:tcW w:type="dxa" w:w="1234"/>
          </w:tcPr>
          <w:p>
            <w:r>
              <w:rPr>
                <w:rFonts w:ascii="Calibri" w:hAnsi="Calibri"/>
                <w:sz w:val="22"/>
              </w:rPr>
              <w:t>-$1,900M</w:t>
            </w:r>
          </w:p>
        </w:tc>
        <w:tc>
          <w:tcPr>
            <w:tcW w:type="dxa" w:w="1234"/>
          </w:tcPr>
          <w:p>
            <w:r>
              <w:rPr>
                <w:rFonts w:ascii="Calibri" w:hAnsi="Calibri"/>
                <w:sz w:val="22"/>
              </w:rPr>
              <w:t>-$5,492M</w:t>
            </w:r>
          </w:p>
        </w:tc>
        <w:tc>
          <w:tcPr>
            <w:tcW w:type="dxa" w:w="1234"/>
          </w:tcPr>
          <w:p>
            <w:r>
              <w:rPr>
                <w:rFonts w:ascii="Calibri" w:hAnsi="Calibri"/>
                <w:sz w:val="22"/>
              </w:rPr>
              <w:t>Worse YoY</w:t>
            </w:r>
          </w:p>
        </w:tc>
        <w:tc>
          <w:tcPr>
            <w:tcW w:type="dxa" w:w="1234"/>
          </w:tcPr>
          <w:p>
            <w:r>
              <w:rPr>
                <w:rFonts w:ascii="Calibri" w:hAnsi="Calibri"/>
                <w:sz w:val="22"/>
              </w:rPr>
              <w:t>Mgmt expects NCF profile to improve through year as redemptions normalize</w:t>
            </w:r>
          </w:p>
        </w:tc>
        <w:tc>
          <w:tcPr>
            <w:tcW w:type="dxa" w:w="1234"/>
          </w:tcPr>
          <w:p>
            <w:r>
              <w:rPr>
                <w:rFonts w:ascii="Calibri" w:hAnsi="Calibri"/>
                <w:sz w:val="22"/>
              </w:rPr>
              <w:t>Consensus well below mgmt expectation of improvement</w:t>
            </w:r>
          </w:p>
        </w:tc>
      </w:tr>
      <w:tr>
        <w:tc>
          <w:tcPr>
            <w:tcW w:type="dxa" w:w="1234"/>
          </w:tcPr>
          <w:p>
            <w:r>
              <w:rPr>
                <w:rFonts w:ascii="Calibri" w:hAnsi="Calibri"/>
                <w:sz w:val="22"/>
              </w:rPr>
              <w:t>Specialty Benefits Incurred Loss Ratio (%)</w:t>
            </w:r>
          </w:p>
        </w:tc>
        <w:tc>
          <w:tcPr>
            <w:tcW w:type="dxa" w:w="1234"/>
          </w:tcPr>
          <w:p>
            <w:r>
              <w:rPr>
                <w:rFonts w:ascii="Calibri" w:hAnsi="Calibri"/>
                <w:sz w:val="22"/>
              </w:rPr>
              <w:t>58.5%</w:t>
            </w:r>
          </w:p>
        </w:tc>
        <w:tc>
          <w:tcPr>
            <w:tcW w:type="dxa" w:w="1234"/>
          </w:tcPr>
          <w:p>
            <w:r>
              <w:rPr>
                <w:rFonts w:ascii="Calibri" w:hAnsi="Calibri"/>
                <w:sz w:val="22"/>
              </w:rPr>
              <w:t>60.2%</w:t>
            </w:r>
          </w:p>
        </w:tc>
        <w:tc>
          <w:tcPr>
            <w:tcW w:type="dxa" w:w="1234"/>
          </w:tcPr>
          <w:p>
            <w:r>
              <w:rPr>
                <w:rFonts w:ascii="Calibri" w:hAnsi="Calibri"/>
                <w:sz w:val="22"/>
              </w:rPr>
              <w:t>60.4%</w:t>
            </w:r>
          </w:p>
        </w:tc>
        <w:tc>
          <w:tcPr>
            <w:tcW w:type="dxa" w:w="1234"/>
          </w:tcPr>
          <w:p>
            <w:r>
              <w:rPr>
                <w:rFonts w:ascii="Calibri" w:hAnsi="Calibri"/>
                <w:sz w:val="22"/>
              </w:rPr>
              <w:t>+0.2 pp YoY</w:t>
            </w:r>
          </w:p>
        </w:tc>
        <w:tc>
          <w:tcPr>
            <w:tcW w:type="dxa" w:w="1234"/>
          </w:tcPr>
          <w:p>
            <w:r>
              <w:rPr>
                <w:rFonts w:ascii="Calibri" w:hAnsi="Calibri"/>
                <w:sz w:val="22"/>
              </w:rPr>
              <w:t>Q2 seasonally highest for Dental; full-year at low end or below target range (mgmt Q1 call)</w:t>
            </w:r>
          </w:p>
        </w:tc>
        <w:tc>
          <w:tcPr>
            <w:tcW w:type="dxa" w:w="1234"/>
          </w:tcPr>
          <w:p>
            <w:r>
              <w:rPr>
                <w:rFonts w:ascii="Calibri" w:hAnsi="Calibri"/>
                <w:sz w:val="22"/>
              </w:rPr>
              <w:t>Consensus ~in line with seasonal guidance</w:t>
            </w:r>
          </w:p>
        </w:tc>
      </w:tr>
      <w:tr>
        <w:tc>
          <w:tcPr>
            <w:tcW w:type="dxa" w:w="1234"/>
          </w:tcPr>
          <w:p>
            <w:r>
              <w:rPr>
                <w:rFonts w:ascii="Calibri" w:hAnsi="Calibri"/>
                <w:sz w:val="22"/>
              </w:rPr>
              <w:t>Specialty Benefits Premium &amp; Fees ($M)</w:t>
            </w:r>
          </w:p>
        </w:tc>
        <w:tc>
          <w:tcPr>
            <w:tcW w:type="dxa" w:w="1234"/>
          </w:tcPr>
          <w:p>
            <w:r>
              <w:rPr>
                <w:rFonts w:ascii="Calibri" w:hAnsi="Calibri"/>
                <w:sz w:val="22"/>
              </w:rPr>
              <w:t>$861.4M</w:t>
            </w:r>
          </w:p>
        </w:tc>
        <w:tc>
          <w:tcPr>
            <w:tcW w:type="dxa" w:w="1234"/>
          </w:tcPr>
          <w:p>
            <w:r>
              <w:rPr>
                <w:rFonts w:ascii="Calibri" w:hAnsi="Calibri"/>
                <w:sz w:val="22"/>
              </w:rPr>
              <w:t>$840.2M</w:t>
            </w:r>
          </w:p>
        </w:tc>
        <w:tc>
          <w:tcPr>
            <w:tcW w:type="dxa" w:w="1234"/>
          </w:tcPr>
          <w:p>
            <w:r>
              <w:rPr>
                <w:rFonts w:ascii="Calibri" w:hAnsi="Calibri"/>
                <w:sz w:val="22"/>
              </w:rPr>
              <w:t>$880.9M</w:t>
            </w:r>
          </w:p>
        </w:tc>
        <w:tc>
          <w:tcPr>
            <w:tcW w:type="dxa" w:w="1234"/>
          </w:tcPr>
          <w:p>
            <w:r>
              <w:rPr>
                <w:rFonts w:ascii="Calibri" w:hAnsi="Calibri"/>
                <w:sz w:val="22"/>
              </w:rPr>
              <w:t>+4.8%</w:t>
            </w:r>
          </w:p>
        </w:tc>
        <w:tc>
          <w:tcPr>
            <w:tcW w:type="dxa" w:w="1234"/>
          </w:tcPr>
          <w:p>
            <w:r>
              <w:rPr>
                <w:rFonts w:ascii="Calibri" w:hAnsi="Calibri"/>
                <w:sz w:val="22"/>
              </w:rPr>
              <w:t>Growth to trend higher through year, most notably H2 (mgmt Q1 call)</w:t>
            </w:r>
          </w:p>
        </w:tc>
        <w:tc>
          <w:tcPr>
            <w:tcW w:type="dxa" w:w="1234"/>
          </w:tcPr>
          <w:p>
            <w:r>
              <w:rPr>
                <w:rFonts w:ascii="Calibri" w:hAnsi="Calibri"/>
                <w:sz w:val="22"/>
              </w:rPr>
              <w:t>Consensus slightly above prior-year pace; in line with guidance</w:t>
            </w:r>
          </w:p>
        </w:tc>
      </w:tr>
      <w:tr>
        <w:tc>
          <w:tcPr>
            <w:tcW w:type="dxa" w:w="1234"/>
          </w:tcPr>
          <w:p>
            <w:r>
              <w:rPr>
                <w:rFonts w:ascii="Calibri" w:hAnsi="Calibri"/>
                <w:sz w:val="22"/>
              </w:rPr>
              <w:t>RIS Net Investment Income ($M)</w:t>
            </w:r>
          </w:p>
        </w:tc>
        <w:tc>
          <w:tcPr>
            <w:tcW w:type="dxa" w:w="1234"/>
          </w:tcPr>
          <w:p>
            <w:r>
              <w:rPr>
                <w:rFonts w:ascii="Calibri" w:hAnsi="Calibri"/>
                <w:sz w:val="22"/>
              </w:rPr>
              <w:t>$896.6M</w:t>
            </w:r>
          </w:p>
        </w:tc>
        <w:tc>
          <w:tcPr>
            <w:tcW w:type="dxa" w:w="1234"/>
          </w:tcPr>
          <w:p>
            <w:r>
              <w:rPr>
                <w:rFonts w:ascii="Calibri" w:hAnsi="Calibri"/>
                <w:sz w:val="22"/>
              </w:rPr>
              <w:t>$836.9M</w:t>
            </w:r>
          </w:p>
        </w:tc>
        <w:tc>
          <w:tcPr>
            <w:tcW w:type="dxa" w:w="1234"/>
          </w:tcPr>
          <w:p>
            <w:r>
              <w:rPr>
                <w:rFonts w:ascii="Calibri" w:hAnsi="Calibri"/>
                <w:sz w:val="22"/>
              </w:rPr>
              <w:t>$909.9M</w:t>
            </w:r>
          </w:p>
        </w:tc>
        <w:tc>
          <w:tcPr>
            <w:tcW w:type="dxa" w:w="1234"/>
          </w:tcPr>
          <w:p>
            <w:r>
              <w:rPr>
                <w:rFonts w:ascii="Calibri" w:hAnsi="Calibri"/>
                <w:sz w:val="22"/>
              </w:rPr>
              <w:t>+8.7%</w:t>
            </w:r>
          </w:p>
        </w:tc>
        <w:tc>
          <w:tcPr>
            <w:tcW w:type="dxa" w:w="1234"/>
          </w:tcPr>
          <w:p>
            <w:r>
              <w:rPr>
                <w:rFonts w:ascii="Calibri" w:hAnsi="Calibri"/>
                <w:sz w:val="22"/>
              </w:rPr>
              <w:t>Full-year VII expected to improve vs. 2025; pickup in Q2-Q4 real estate activity</w:t>
            </w:r>
          </w:p>
        </w:tc>
        <w:tc>
          <w:tcPr>
            <w:tcW w:type="dxa" w:w="1234"/>
          </w:tcPr>
          <w:p>
            <w:r>
              <w:rPr>
                <w:rFonts w:ascii="Calibri" w:hAnsi="Calibri"/>
                <w:sz w:val="22"/>
              </w:rPr>
              <w:t>Consensus slightly above Q1 actual; consistent with mgmt VII recovery narrative</w:t>
            </w:r>
          </w:p>
        </w:tc>
      </w:tr>
      <w:tr>
        <w:tc>
          <w:tcPr>
            <w:tcW w:type="dxa" w:w="1234"/>
          </w:tcPr>
          <w:p>
            <w:r>
              <w:rPr>
                <w:rFonts w:ascii="Calibri" w:hAnsi="Calibri"/>
                <w:sz w:val="22"/>
              </w:rPr>
              <w:t>Return on Equity (%)</w:t>
            </w:r>
          </w:p>
        </w:tc>
        <w:tc>
          <w:tcPr>
            <w:tcW w:type="dxa" w:w="1234"/>
          </w:tcPr>
          <w:p>
            <w:r>
              <w:rPr>
                <w:rFonts w:ascii="Calibri" w:hAnsi="Calibri"/>
                <w:sz w:val="22"/>
              </w:rPr>
              <w:t>13.6%</w:t>
            </w:r>
          </w:p>
        </w:tc>
        <w:tc>
          <w:tcPr>
            <w:tcW w:type="dxa" w:w="1234"/>
          </w:tcPr>
          <w:p>
            <w:r>
              <w:rPr>
                <w:rFonts w:ascii="Calibri" w:hAnsi="Calibri"/>
                <w:sz w:val="22"/>
              </w:rPr>
              <w:t>14.1%</w:t>
            </w:r>
          </w:p>
        </w:tc>
        <w:tc>
          <w:tcPr>
            <w:tcW w:type="dxa" w:w="1234"/>
          </w:tcPr>
          <w:p>
            <w:r>
              <w:rPr>
                <w:rFonts w:ascii="Calibri" w:hAnsi="Calibri"/>
                <w:sz w:val="22"/>
              </w:rPr>
              <w:t>14.1%</w:t>
            </w:r>
          </w:p>
        </w:tc>
        <w:tc>
          <w:tcPr>
            <w:tcW w:type="dxa" w:w="1234"/>
          </w:tcPr>
          <w:p>
            <w:r>
              <w:rPr>
                <w:rFonts w:ascii="Calibri" w:hAnsi="Calibri"/>
                <w:sz w:val="22"/>
              </w:rPr>
              <w:t>Flat YoY</w:t>
            </w:r>
          </w:p>
        </w:tc>
        <w:tc>
          <w:tcPr>
            <w:tcW w:type="dxa" w:w="1234"/>
          </w:tcPr>
          <w:p>
            <w:r>
              <w:rPr>
                <w:rFonts w:ascii="Calibri" w:hAnsi="Calibri"/>
                <w:sz w:val="22"/>
              </w:rPr>
              <w:t>Raised ROE target range (mgmt); FY2026 consensus at 15.0%</w:t>
            </w:r>
          </w:p>
        </w:tc>
        <w:tc>
          <w:tcPr>
            <w:tcW w:type="dxa" w:w="1234"/>
          </w:tcPr>
          <w:p>
            <w:r>
              <w:rPr>
                <w:rFonts w:ascii="Calibri" w:hAnsi="Calibri"/>
                <w:sz w:val="22"/>
              </w:rPr>
              <w:t>Q2 consensus at low end of raised target; FY on track</w:t>
            </w:r>
          </w:p>
        </w:tc>
      </w:tr>
    </w:tbl>
    <w:p>
      <w:r>
        <w:rPr>
          <w:rFonts w:ascii="Calibri" w:hAnsi="Calibri"/>
          <w:i/>
          <w:color w:val="525866"/>
          <w:sz w:val="22"/>
        </w:rPr>
        <w:t>Sources: Visible Alpha Consensus and Actuals Data; PFG Q1 2026 Earnings Call (April 24, 2026); PFG 8-K AUM Disclosure (July 20, 2026). Note: AUM figures in billions; Net Cash Flows in millions. Operating EPS = EPS – Diluted applicable to common stockholders – Operating.</w:t>
      </w:r>
    </w:p>
    <w:p>
      <w:pPr>
        <w:pStyle w:val="Heading3"/>
      </w:pPr>
      <w:r>
        <w:rPr>
          <w:rFonts w:ascii="Calibri" w:hAnsi="Calibri"/>
          <w:b/>
          <w:color w:val="3B4259"/>
          <w:sz w:val="24"/>
        </w:rPr>
        <w:t>Table 2 — Beat/Miss History: Last 8 Quarters (Top 2 KPIs: Operating EPS &amp; Specialty Benefits Loss Ratio)</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$2.07</w:t>
            </w:r>
          </w:p>
        </w:tc>
        <w:tc>
          <w:tcPr>
            <w:tcW w:type="dxa" w:w="1440"/>
          </w:tcPr>
          <w:p>
            <w:r>
              <w:rPr>
                <w:rFonts w:ascii="Calibri" w:hAnsi="Calibri"/>
                <w:sz w:val="22"/>
              </w:rPr>
              <w:t>$2.02</w:t>
            </w:r>
          </w:p>
        </w:tc>
        <w:tc>
          <w:tcPr>
            <w:tcW w:type="dxa" w:w="1440"/>
          </w:tcPr>
          <w:p>
            <w:r>
              <w:rPr>
                <w:rFonts w:ascii="Calibri" w:hAnsi="Calibri"/>
                <w:b/>
                <w:color w:val="30A46C"/>
                <w:sz w:val="22"/>
              </w:rPr>
              <w:t>+2.7%</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SBD Loss Ratio</w:t>
            </w:r>
          </w:p>
        </w:tc>
        <w:tc>
          <w:tcPr>
            <w:tcW w:type="dxa" w:w="1440"/>
          </w:tcPr>
          <w:p>
            <w:r>
              <w:rPr>
                <w:rFonts w:ascii="Calibri" w:hAnsi="Calibri"/>
                <w:sz w:val="22"/>
              </w:rPr>
              <w:t>58.5%</w:t>
            </w:r>
          </w:p>
        </w:tc>
        <w:tc>
          <w:tcPr>
            <w:tcW w:type="dxa" w:w="1440"/>
          </w:tcPr>
          <w:p>
            <w:r>
              <w:rPr>
                <w:rFonts w:ascii="Calibri" w:hAnsi="Calibri"/>
                <w:sz w:val="22"/>
              </w:rPr>
              <w:t>61.4%</w:t>
            </w:r>
          </w:p>
        </w:tc>
        <w:tc>
          <w:tcPr>
            <w:tcW w:type="dxa" w:w="1440"/>
          </w:tcPr>
          <w:p>
            <w:r>
              <w:rPr>
                <w:rFonts w:ascii="Calibri" w:hAnsi="Calibri"/>
                <w:b/>
                <w:color w:val="30A46C"/>
                <w:sz w:val="22"/>
              </w:rPr>
              <w:t>-2.9 pp</w:t>
            </w:r>
          </w:p>
        </w:tc>
        <w:tc>
          <w:tcPr>
            <w:tcW w:type="dxa" w:w="1440"/>
          </w:tcPr>
          <w:p>
            <w:r>
              <w:rPr>
                <w:rFonts w:ascii="Calibri" w:hAnsi="Calibri"/>
                <w:b/>
                <w:color w:val="30A46C"/>
                <w:sz w:val="22"/>
              </w:rPr>
              <w:t>Beat (lower is better)</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$2.19</w:t>
            </w:r>
          </w:p>
        </w:tc>
        <w:tc>
          <w:tcPr>
            <w:tcW w:type="dxa" w:w="1440"/>
          </w:tcPr>
          <w:p>
            <w:r>
              <w:rPr>
                <w:rFonts w:ascii="Calibri" w:hAnsi="Calibri"/>
                <w:sz w:val="22"/>
              </w:rPr>
              <w:t>$2.22</w:t>
            </w:r>
          </w:p>
        </w:tc>
        <w:tc>
          <w:tcPr>
            <w:tcW w:type="dxa" w:w="1440"/>
          </w:tcPr>
          <w:p>
            <w:r>
              <w:rPr>
                <w:rFonts w:ascii="Calibri" w:hAnsi="Calibri"/>
                <w:b/>
                <w:color w:val="E5484D"/>
                <w:sz w:val="22"/>
              </w:rPr>
              <w:t>-1.4%</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SBD Loss Ratio</w:t>
            </w:r>
          </w:p>
        </w:tc>
        <w:tc>
          <w:tcPr>
            <w:tcW w:type="dxa" w:w="1440"/>
          </w:tcPr>
          <w:p>
            <w:r>
              <w:rPr>
                <w:rFonts w:ascii="Calibri" w:hAnsi="Calibri"/>
                <w:sz w:val="22"/>
              </w:rPr>
              <w:t>57.6%</w:t>
            </w:r>
          </w:p>
        </w:tc>
        <w:tc>
          <w:tcPr>
            <w:tcW w:type="dxa" w:w="1440"/>
          </w:tcPr>
          <w:p>
            <w:r>
              <w:rPr>
                <w:rFonts w:ascii="Calibri" w:hAnsi="Calibri"/>
                <w:sz w:val="22"/>
              </w:rPr>
              <w:t>59.3%</w:t>
            </w:r>
          </w:p>
        </w:tc>
        <w:tc>
          <w:tcPr>
            <w:tcW w:type="dxa" w:w="1440"/>
          </w:tcPr>
          <w:p>
            <w:r>
              <w:rPr>
                <w:rFonts w:ascii="Calibri" w:hAnsi="Calibri"/>
                <w:b/>
                <w:color w:val="30A46C"/>
                <w:sz w:val="22"/>
              </w:rPr>
              <w:t>-1.7 pp</w:t>
            </w:r>
          </w:p>
        </w:tc>
        <w:tc>
          <w:tcPr>
            <w:tcW w:type="dxa" w:w="1440"/>
          </w:tcPr>
          <w:p>
            <w:r>
              <w:rPr>
                <w:rFonts w:ascii="Calibri" w:hAnsi="Calibri"/>
                <w:b/>
                <w:color w:val="30A46C"/>
                <w:sz w:val="22"/>
              </w:rPr>
              <w:t>Beat (lower is better)</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$2.10</w:t>
            </w:r>
          </w:p>
        </w:tc>
        <w:tc>
          <w:tcPr>
            <w:tcW w:type="dxa" w:w="1440"/>
          </w:tcPr>
          <w:p>
            <w:r>
              <w:rPr>
                <w:rFonts w:ascii="Calibri" w:hAnsi="Calibri"/>
                <w:sz w:val="22"/>
              </w:rPr>
              <w:t>$2.20</w:t>
            </w:r>
          </w:p>
        </w:tc>
        <w:tc>
          <w:tcPr>
            <w:tcW w:type="dxa" w:w="1440"/>
          </w:tcPr>
          <w:p>
            <w:r>
              <w:rPr>
                <w:rFonts w:ascii="Calibri" w:hAnsi="Calibri"/>
                <w:b/>
                <w:color w:val="E5484D"/>
                <w:sz w:val="22"/>
              </w:rPr>
              <w:t>-4.5%</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SBD Loss Ratio</w:t>
            </w:r>
          </w:p>
        </w:tc>
        <w:tc>
          <w:tcPr>
            <w:tcW w:type="dxa" w:w="1440"/>
          </w:tcPr>
          <w:p>
            <w:r>
              <w:rPr>
                <w:rFonts w:ascii="Calibri" w:hAnsi="Calibri"/>
                <w:sz w:val="22"/>
              </w:rPr>
              <w:t>56.4%</w:t>
            </w:r>
          </w:p>
        </w:tc>
        <w:tc>
          <w:tcPr>
            <w:tcW w:type="dxa" w:w="1440"/>
          </w:tcPr>
          <w:p>
            <w:r>
              <w:rPr>
                <w:rFonts w:ascii="Calibri" w:hAnsi="Calibri"/>
                <w:sz w:val="22"/>
              </w:rPr>
              <w:t>59.7%</w:t>
            </w:r>
          </w:p>
        </w:tc>
        <w:tc>
          <w:tcPr>
            <w:tcW w:type="dxa" w:w="1440"/>
          </w:tcPr>
          <w:p>
            <w:r>
              <w:rPr>
                <w:rFonts w:ascii="Calibri" w:hAnsi="Calibri"/>
                <w:b/>
                <w:color w:val="30A46C"/>
                <w:sz w:val="22"/>
              </w:rPr>
              <w:t>-3.3 pp</w:t>
            </w:r>
          </w:p>
        </w:tc>
        <w:tc>
          <w:tcPr>
            <w:tcW w:type="dxa" w:w="1440"/>
          </w:tcPr>
          <w:p>
            <w:r>
              <w:rPr>
                <w:rFonts w:ascii="Calibri" w:hAnsi="Calibri"/>
                <w:b/>
                <w:color w:val="30A46C"/>
                <w:sz w:val="22"/>
              </w:rPr>
              <w:t>Beat (lower is better)</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$2.16</w:t>
            </w:r>
          </w:p>
        </w:tc>
        <w:tc>
          <w:tcPr>
            <w:tcW w:type="dxa" w:w="1440"/>
          </w:tcPr>
          <w:p>
            <w:r>
              <w:rPr>
                <w:rFonts w:ascii="Calibri" w:hAnsi="Calibri"/>
                <w:sz w:val="22"/>
              </w:rPr>
              <w:t>$1.97</w:t>
            </w:r>
          </w:p>
        </w:tc>
        <w:tc>
          <w:tcPr>
            <w:tcW w:type="dxa" w:w="1440"/>
          </w:tcPr>
          <w:p>
            <w:r>
              <w:rPr>
                <w:rFonts w:ascii="Calibri" w:hAnsi="Calibri"/>
                <w:b/>
                <w:color w:val="30A46C"/>
                <w:sz w:val="22"/>
              </w:rPr>
              <w:t>+9.6%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SBD Loss Ratio</w:t>
            </w:r>
          </w:p>
        </w:tc>
        <w:tc>
          <w:tcPr>
            <w:tcW w:type="dxa" w:w="1440"/>
          </w:tcPr>
          <w:p>
            <w:r>
              <w:rPr>
                <w:rFonts w:ascii="Calibri" w:hAnsi="Calibri"/>
                <w:sz w:val="22"/>
              </w:rPr>
              <w:t>60.2%</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$1.81</w:t>
            </w:r>
          </w:p>
        </w:tc>
        <w:tc>
          <w:tcPr>
            <w:tcW w:type="dxa" w:w="1440"/>
          </w:tcPr>
          <w:p>
            <w:r>
              <w:rPr>
                <w:rFonts w:ascii="Calibri" w:hAnsi="Calibri"/>
                <w:sz w:val="22"/>
              </w:rPr>
              <w:t>$1.83</w:t>
            </w:r>
          </w:p>
        </w:tc>
        <w:tc>
          <w:tcPr>
            <w:tcW w:type="dxa" w:w="1440"/>
          </w:tcPr>
          <w:p>
            <w:r>
              <w:rPr>
                <w:rFonts w:ascii="Calibri" w:hAnsi="Calibri"/>
                <w:b/>
                <w:color w:val="E5484D"/>
                <w:sz w:val="22"/>
              </w:rPr>
              <w:t>-1.1%</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SBD Loss Ratio</w:t>
            </w:r>
          </w:p>
        </w:tc>
        <w:tc>
          <w:tcPr>
            <w:tcW w:type="dxa" w:w="1440"/>
          </w:tcPr>
          <w:p>
            <w:r>
              <w:rPr>
                <w:rFonts w:ascii="Calibri" w:hAnsi="Calibri"/>
                <w:sz w:val="22"/>
              </w:rPr>
              <w:t>60.7%</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$1.94</w:t>
            </w:r>
          </w:p>
        </w:tc>
        <w:tc>
          <w:tcPr>
            <w:tcW w:type="dxa" w:w="1440"/>
          </w:tcPr>
          <w:p>
            <w:r>
              <w:rPr>
                <w:rFonts w:ascii="Calibri" w:hAnsi="Calibri"/>
                <w:sz w:val="22"/>
              </w:rPr>
              <w:t>$1.94</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SBD Loss Ratio</w:t>
            </w:r>
          </w:p>
        </w:tc>
        <w:tc>
          <w:tcPr>
            <w:tcW w:type="dxa" w:w="1440"/>
          </w:tcPr>
          <w:p>
            <w:r>
              <w:rPr>
                <w:rFonts w:ascii="Calibri" w:hAnsi="Calibri"/>
                <w:sz w:val="22"/>
              </w:rPr>
              <w:t>56.5%</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$1.76</w:t>
            </w:r>
          </w:p>
        </w:tc>
        <w:tc>
          <w:tcPr>
            <w:tcW w:type="dxa" w:w="1440"/>
          </w:tcPr>
          <w:p>
            <w:r>
              <w:rPr>
                <w:rFonts w:ascii="Calibri" w:hAnsi="Calibri"/>
                <w:sz w:val="22"/>
              </w:rPr>
              <w:t>$2.01</w:t>
            </w:r>
          </w:p>
        </w:tc>
        <w:tc>
          <w:tcPr>
            <w:tcW w:type="dxa" w:w="1440"/>
          </w:tcPr>
          <w:p>
            <w:r>
              <w:rPr>
                <w:rFonts w:ascii="Calibri" w:hAnsi="Calibri"/>
                <w:b/>
                <w:color w:val="E5484D"/>
                <w:sz w:val="22"/>
              </w:rPr>
              <w:t>-12.4%</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SBD Loss Ratio</w:t>
            </w:r>
          </w:p>
        </w:tc>
        <w:tc>
          <w:tcPr>
            <w:tcW w:type="dxa" w:w="1440"/>
          </w:tcPr>
          <w:p>
            <w:r>
              <w:rPr>
                <w:rFonts w:ascii="Calibri" w:hAnsi="Calibri"/>
                <w:sz w:val="22"/>
              </w:rPr>
              <w:t>62.7%</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$1.63</w:t>
            </w:r>
          </w:p>
        </w:tc>
        <w:tc>
          <w:tcPr>
            <w:tcW w:type="dxa" w:w="1440"/>
          </w:tcPr>
          <w:p>
            <w:r>
              <w:rPr>
                <w:rFonts w:ascii="Calibri" w:hAnsi="Calibri"/>
                <w:sz w:val="22"/>
              </w:rPr>
              <w:t>$1.84</w:t>
            </w:r>
          </w:p>
        </w:tc>
        <w:tc>
          <w:tcPr>
            <w:tcW w:type="dxa" w:w="1440"/>
          </w:tcPr>
          <w:p>
            <w:r>
              <w:rPr>
                <w:rFonts w:ascii="Calibri" w:hAnsi="Calibri"/>
                <w:b/>
                <w:color w:val="E5484D"/>
                <w:sz w:val="22"/>
              </w:rPr>
              <w:t>-11.4%</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SBD Loss Ratio</w:t>
            </w:r>
          </w:p>
        </w:tc>
        <w:tc>
          <w:tcPr>
            <w:tcW w:type="dxa" w:w="1440"/>
          </w:tcPr>
          <w:p>
            <w:r>
              <w:rPr>
                <w:rFonts w:ascii="Calibri" w:hAnsi="Calibri"/>
                <w:sz w:val="22"/>
              </w:rPr>
              <w:t>61.5%</w:t>
            </w:r>
          </w:p>
        </w:tc>
        <w:tc>
          <w:tcPr>
            <w:tcW w:type="dxa" w:w="1440"/>
          </w:tcPr>
          <w:p>
            <w:r>
              <w:rPr>
                <w:rFonts w:ascii="Calibri" w:hAnsi="Calibri"/>
                <w:sz w:val="22"/>
              </w:rPr>
              <w:t>N/A — not in VA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Operating EPS beat/miss history is mixed — PFG beat in Q1 2026 and Q2 2025 but missed in Q3 2025, Q4 2025, Q3 2024, and Q2 2024, often driven by variable investment income timing and Investment Management flow headwinds; the Specialty Benefits loss ratio has consistently come in better than consensus in recent quarters where VA consensus data is available, suggesting the Street tends to over-estimate loss ratios.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been consistently confident since the Q1 2026 earnings call, with no formal guidance revisions post-earnings; the July 20 AUM disclosure ($808B total managed AUM) is the only material post-earnings data point and is a positive read-through for fee income.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Operating EPS</w:t>
            </w:r>
          </w:p>
        </w:tc>
        <w:tc>
          <w:tcPr>
            <w:tcW w:type="dxa" w:w="1728"/>
          </w:tcPr>
          <w:p>
            <w:r>
              <w:rPr>
                <w:rFonts w:ascii="Calibri" w:hAnsi="Calibri"/>
                <w:sz w:val="22"/>
              </w:rPr>
              <w:t>Reaffirmed FY2026 financial targets; EPS growth above high end of target range ex-significant variances in Q1</w:t>
            </w:r>
          </w:p>
        </w:tc>
        <w:tc>
          <w:tcPr>
            <w:tcW w:type="dxa" w:w="1728"/>
          </w:tcPr>
          <w:p>
            <w:r>
              <w:rPr>
                <w:rFonts w:ascii="Calibri" w:hAnsi="Calibri"/>
                <w:sz w:val="22"/>
              </w:rPr>
              <w:t>—</w:t>
            </w:r>
          </w:p>
        </w:tc>
        <w:tc>
          <w:tcPr>
            <w:tcW w:type="dxa" w:w="1728"/>
          </w:tcPr>
          <w:p>
            <w:r>
              <w:rPr>
                <w:rFonts w:ascii="Calibri" w:hAnsi="Calibri"/>
                <w:sz w:val="22"/>
              </w:rPr>
              <w:t>$9.44</w:t>
            </w:r>
          </w:p>
        </w:tc>
        <w:tc>
          <w:tcPr>
            <w:tcW w:type="dxa" w:w="1728"/>
          </w:tcPr>
          <w:p>
            <w:r>
              <w:rPr>
                <w:rFonts w:ascii="Calibri" w:hAnsi="Calibri"/>
                <w:sz w:val="22"/>
              </w:rPr>
              <w:t>No change since Q1 call; management expressed confidence in delivering targets</w:t>
            </w:r>
          </w:p>
        </w:tc>
      </w:tr>
      <w:tr>
        <w:tc>
          <w:tcPr>
            <w:tcW w:type="dxa" w:w="1728"/>
          </w:tcPr>
          <w:p>
            <w:r>
              <w:rPr>
                <w:rFonts w:ascii="Calibri" w:hAnsi="Calibri"/>
                <w:sz w:val="22"/>
              </w:rPr>
              <w:t>Specialty Benefits Loss Ratio (Full Year)</w:t>
            </w:r>
          </w:p>
        </w:tc>
        <w:tc>
          <w:tcPr>
            <w:tcW w:type="dxa" w:w="1728"/>
          </w:tcPr>
          <w:p>
            <w:r>
              <w:rPr>
                <w:rFonts w:ascii="Calibri" w:hAnsi="Calibri"/>
                <w:sz w:val="22"/>
              </w:rPr>
              <w:t>Expected at low end or slightly below low end of target range for full year; Q2 seasonally highest for Dental (loss ratio rises in Q2)</w:t>
            </w:r>
          </w:p>
        </w:tc>
        <w:tc>
          <w:tcPr>
            <w:tcW w:type="dxa" w:w="1728"/>
          </w:tcPr>
          <w:p>
            <w:r>
              <w:rPr>
                <w:rFonts w:ascii="Calibri" w:hAnsi="Calibri"/>
                <w:sz w:val="22"/>
              </w:rPr>
              <w:t>—</w:t>
            </w:r>
          </w:p>
        </w:tc>
        <w:tc>
          <w:tcPr>
            <w:tcW w:type="dxa" w:w="1728"/>
          </w:tcPr>
          <w:p>
            <w:r>
              <w:rPr>
                <w:rFonts w:ascii="Calibri" w:hAnsi="Calibri"/>
                <w:sz w:val="22"/>
              </w:rPr>
              <w:t>59.3% (FY2026 consensus)</w:t>
            </w:r>
          </w:p>
        </w:tc>
        <w:tc>
          <w:tcPr>
            <w:tcW w:type="dxa" w:w="1728"/>
          </w:tcPr>
          <w:p>
            <w:r>
              <w:rPr>
                <w:rFonts w:ascii="Calibri" w:hAnsi="Calibri"/>
                <w:sz w:val="22"/>
              </w:rPr>
              <w:t>Consensus slightly above mgmt's favorable full-year view; Q2 consensus at 60.4% reflects seasonal dental uptick as guided</w:t>
            </w:r>
          </w:p>
        </w:tc>
      </w:tr>
      <w:tr>
        <w:tc>
          <w:tcPr>
            <w:tcW w:type="dxa" w:w="1728"/>
          </w:tcPr>
          <w:p>
            <w:r>
              <w:rPr>
                <w:rFonts w:ascii="Calibri" w:hAnsi="Calibri"/>
                <w:sz w:val="22"/>
              </w:rPr>
              <w:t>Variable Investment Income (VII) / RIS</w:t>
            </w:r>
          </w:p>
        </w:tc>
        <w:tc>
          <w:tcPr>
            <w:tcW w:type="dxa" w:w="1728"/>
          </w:tcPr>
          <w:p>
            <w:r>
              <w:rPr>
                <w:rFonts w:ascii="Calibri" w:hAnsi="Calibri"/>
                <w:sz w:val="22"/>
              </w:rPr>
              <w:t>Full-year 2026 VII expected to improve vs. 2025; pickup in real estate transaction activity in Q2, Q3, Q4; no macro change needed to deliver improvement</w:t>
            </w:r>
          </w:p>
        </w:tc>
        <w:tc>
          <w:tcPr>
            <w:tcW w:type="dxa" w:w="1728"/>
          </w:tcPr>
          <w:p>
            <w:r>
              <w:rPr>
                <w:rFonts w:ascii="Calibri" w:hAnsi="Calibri"/>
                <w:sz w:val="22"/>
              </w:rPr>
              <w:t>—</w:t>
            </w:r>
          </w:p>
        </w:tc>
        <w:tc>
          <w:tcPr>
            <w:tcW w:type="dxa" w:w="1728"/>
          </w:tcPr>
          <w:p>
            <w:r>
              <w:rPr>
                <w:rFonts w:ascii="Calibri" w:hAnsi="Calibri"/>
                <w:sz w:val="22"/>
              </w:rPr>
              <w:t>RIS NII consensus $909.9M for Q2 2026</w:t>
            </w:r>
          </w:p>
        </w:tc>
        <w:tc>
          <w:tcPr>
            <w:tcW w:type="dxa" w:w="1728"/>
          </w:tcPr>
          <w:p>
            <w:r>
              <w:rPr>
                <w:rFonts w:ascii="Calibri" w:hAnsi="Calibri"/>
                <w:sz w:val="22"/>
              </w:rPr>
              <w:t>Consensus reflects modest sequential improvement from Q1's $896.6M; consistent with mgmt's VII recovery narrative</w:t>
            </w:r>
          </w:p>
        </w:tc>
      </w:tr>
      <w:tr>
        <w:tc>
          <w:tcPr>
            <w:tcW w:type="dxa" w:w="1728"/>
          </w:tcPr>
          <w:p>
            <w:r>
              <w:rPr>
                <w:rFonts w:ascii="Calibri" w:hAnsi="Calibri"/>
                <w:sz w:val="22"/>
              </w:rPr>
              <w:t>Investment Management Net Cash Flows</w:t>
            </w:r>
          </w:p>
        </w:tc>
        <w:tc>
          <w:tcPr>
            <w:tcW w:type="dxa" w:w="1728"/>
          </w:tcPr>
          <w:p>
            <w:r>
              <w:rPr>
                <w:rFonts w:ascii="Calibri" w:hAnsi="Calibri"/>
                <w:sz w:val="22"/>
              </w:rPr>
              <w:t>NCF profile expected to improve for balance of year as redemption activity normalizes; commitment pipeline &gt;$9B (won but unfunded)</w:t>
            </w:r>
          </w:p>
        </w:tc>
        <w:tc>
          <w:tcPr>
            <w:tcW w:type="dxa" w:w="1728"/>
          </w:tcPr>
          <w:p>
            <w:r>
              <w:rPr>
                <w:rFonts w:ascii="Calibri" w:hAnsi="Calibri"/>
                <w:sz w:val="22"/>
              </w:rPr>
              <w:t>—</w:t>
            </w:r>
          </w:p>
        </w:tc>
        <w:tc>
          <w:tcPr>
            <w:tcW w:type="dxa" w:w="1728"/>
          </w:tcPr>
          <w:p>
            <w:r>
              <w:rPr>
                <w:rFonts w:ascii="Calibri" w:hAnsi="Calibri"/>
                <w:sz w:val="22"/>
              </w:rPr>
              <w:t>-$5,492M (Q2 2026 consensus)</w:t>
            </w:r>
          </w:p>
        </w:tc>
        <w:tc>
          <w:tcPr>
            <w:tcW w:type="dxa" w:w="1728"/>
          </w:tcPr>
          <w:p>
            <w:r>
              <w:rPr>
                <w:rFonts w:ascii="Calibri" w:hAnsi="Calibri"/>
                <w:sz w:val="22"/>
              </w:rPr>
              <w:t>Consensus implies significant deterioration vs. Q1's -$2,900M — diverges sharply from mgmt's improvement narrative; key risk/opportunity</w:t>
            </w:r>
          </w:p>
        </w:tc>
      </w:tr>
      <w:tr>
        <w:tc>
          <w:tcPr>
            <w:tcW w:type="dxa" w:w="1728"/>
          </w:tcPr>
          <w:p>
            <w:r>
              <w:rPr>
                <w:rFonts w:ascii="Calibri" w:hAnsi="Calibri"/>
                <w:sz w:val="22"/>
              </w:rPr>
              <w:t>Specialty Benefits Premium &amp; Fee Growth</w:t>
            </w:r>
          </w:p>
        </w:tc>
        <w:tc>
          <w:tcPr>
            <w:tcW w:type="dxa" w:w="1728"/>
          </w:tcPr>
          <w:p>
            <w:r>
              <w:rPr>
                <w:rFonts w:ascii="Calibri" w:hAnsi="Calibri"/>
                <w:sz w:val="22"/>
              </w:rPr>
              <w:t>Growth to trend higher throughout year, most notably in H2; dental network acquisition (Q1) to contribute from Q2 onward</w:t>
            </w:r>
          </w:p>
        </w:tc>
        <w:tc>
          <w:tcPr>
            <w:tcW w:type="dxa" w:w="1728"/>
          </w:tcPr>
          <w:p>
            <w:r>
              <w:rPr>
                <w:rFonts w:ascii="Calibri" w:hAnsi="Calibri"/>
                <w:sz w:val="22"/>
              </w:rPr>
              <w:t>—</w:t>
            </w:r>
          </w:p>
        </w:tc>
        <w:tc>
          <w:tcPr>
            <w:tcW w:type="dxa" w:w="1728"/>
          </w:tcPr>
          <w:p>
            <w:r>
              <w:rPr>
                <w:rFonts w:ascii="Calibri" w:hAnsi="Calibri"/>
                <w:sz w:val="22"/>
              </w:rPr>
              <w:t>$880.9M (Q2 2026 consensus)</w:t>
            </w:r>
          </w:p>
        </w:tc>
        <w:tc>
          <w:tcPr>
            <w:tcW w:type="dxa" w:w="1728"/>
          </w:tcPr>
          <w:p>
            <w:r>
              <w:rPr>
                <w:rFonts w:ascii="Calibri" w:hAnsi="Calibri"/>
                <w:sz w:val="22"/>
              </w:rPr>
              <w:t>Consensus implies +4.8% YoY growth; in line with mgmt's trajectory guidance</w:t>
            </w:r>
          </w:p>
        </w:tc>
      </w:tr>
      <w:tr>
        <w:tc>
          <w:tcPr>
            <w:tcW w:type="dxa" w:w="1728"/>
          </w:tcPr>
          <w:p>
            <w:r>
              <w:rPr>
                <w:rFonts w:ascii="Calibri" w:hAnsi="Calibri"/>
                <w:sz w:val="22"/>
              </w:rPr>
              <w:t>Life Insurance Segment Margin</w:t>
            </w:r>
          </w:p>
        </w:tc>
        <w:tc>
          <w:tcPr>
            <w:tcW w:type="dxa" w:w="1728"/>
          </w:tcPr>
          <w:p>
            <w:r>
              <w:rPr>
                <w:rFonts w:ascii="Calibri" w:hAnsi="Calibri"/>
                <w:sz w:val="22"/>
              </w:rPr>
              <w:t>Full-year margin expected towards lower end of 12%-16% target range; Q1 was outsized due to favorable mortality (frequency and severity)</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Mgmt flagged Q1 mortality favorability as unlikely to fully repeat; Q2 life results expected to normalize</w:t>
            </w:r>
          </w:p>
        </w:tc>
      </w:tr>
      <w:tr>
        <w:tc>
          <w:tcPr>
            <w:tcW w:type="dxa" w:w="1728"/>
          </w:tcPr>
          <w:p>
            <w:r>
              <w:rPr>
                <w:rFonts w:ascii="Calibri" w:hAnsi="Calibri"/>
                <w:sz w:val="22"/>
              </w:rPr>
              <w:t>RIS / PRT Pipeline</w:t>
            </w:r>
          </w:p>
        </w:tc>
        <w:tc>
          <w:tcPr>
            <w:tcW w:type="dxa" w:w="1728"/>
          </w:tcPr>
          <w:p>
            <w:r>
              <w:rPr>
                <w:rFonts w:ascii="Calibri" w:hAnsi="Calibri"/>
                <w:sz w:val="22"/>
              </w:rPr>
              <w:t>PRT pipeline light in Q2; full year expected similar to 2025 with lighter H1 and more accelerated H2 PRT sales; Q1 strongest for transfer deposits historically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Mgmt guided to lower Q2 transfer deposits vs. Q1 (seasonal pattern); no formal revision</w:t>
            </w:r>
          </w:p>
        </w:tc>
      </w:tr>
      <w:tr>
        <w:tc>
          <w:tcPr>
            <w:tcW w:type="dxa" w:w="1728"/>
          </w:tcPr>
          <w:p>
            <w:r>
              <w:rPr>
                <w:rFonts w:ascii="Calibri" w:hAnsi="Calibri"/>
                <w:sz w:val="22"/>
              </w:rPr>
              <w:t>Total Managed AUM (Q2 2026 Actual)</w:t>
            </w:r>
          </w:p>
        </w:tc>
        <w:tc>
          <w:tcPr>
            <w:tcW w:type="dxa" w:w="1728"/>
          </w:tcPr>
          <w:p>
            <w:r>
              <w:rPr>
                <w:rFonts w:ascii="Calibri" w:hAnsi="Calibri"/>
                <w:sz w:val="22"/>
              </w:rPr>
              <w:t>N/A (no specific Q2 AUM guidance given on Q1 call)</w:t>
            </w:r>
          </w:p>
        </w:tc>
        <w:tc>
          <w:tcPr>
            <w:tcW w:type="dxa" w:w="1728"/>
          </w:tcPr>
          <w:p>
            <w:r>
              <w:rPr>
                <w:rFonts w:ascii="Calibri" w:hAnsi="Calibri"/>
                <w:sz w:val="22"/>
              </w:rPr>
              <w:t>$808.0B (disclosed July 20, 2026 via 8-K)</w:t>
            </w:r>
          </w:p>
        </w:tc>
        <w:tc>
          <w:tcPr>
            <w:tcW w:type="dxa" w:w="1728"/>
          </w:tcPr>
          <w:p>
            <w:r>
              <w:rPr>
                <w:rFonts w:ascii="Calibri" w:hAnsi="Calibri"/>
                <w:sz w:val="22"/>
              </w:rPr>
              <w:t>$769.1B (VA consensus for PAM AUM)</w:t>
            </w:r>
          </w:p>
        </w:tc>
        <w:tc>
          <w:tcPr>
            <w:tcW w:type="dxa" w:w="1728"/>
          </w:tcPr>
          <w:p>
            <w:r>
              <w:rPr>
                <w:rFonts w:ascii="Calibri" w:hAnsi="Calibri"/>
                <w:sz w:val="22"/>
              </w:rPr>
              <w:t>↑ Post-earnings update: 8-K filed July 20, 2026 disclosed Q2 AUM of $808B total managed; 6.4% positive market/FX impact; positive read-through for fee income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FY2026 Operating EPS estimates have drifted modestly higher (+1.1%) since the Q1 print, suggesting the Street is incrementally more confident in PFG's full-year delivery; however, Q2 Investment Management NCF consensus has deteriorated sharply vs. the post-Q1 baseline, creating a wide gap between management's improvement narrative and Street expectations — this divergence is the key risk/opportunity heading into the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 5 days post Q1 earnings)</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$2.33</w:t>
            </w:r>
          </w:p>
        </w:tc>
        <w:tc>
          <w:tcPr>
            <w:tcW w:type="dxa" w:w="1080"/>
          </w:tcPr>
          <w:p>
            <w:r>
              <w:rPr>
                <w:rFonts w:ascii="Calibri" w:hAnsi="Calibri"/>
                <w:sz w:val="22"/>
              </w:rPr>
              <w:t>$2.34</w:t>
            </w:r>
          </w:p>
        </w:tc>
        <w:tc>
          <w:tcPr>
            <w:tcW w:type="dxa" w:w="1080"/>
          </w:tcPr>
          <w:p>
            <w:r>
              <w:rPr>
                <w:rFonts w:ascii="Calibri" w:hAnsi="Calibri"/>
                <w:sz w:val="22"/>
              </w:rPr>
              <w:t>+0.4%</w:t>
            </w:r>
          </w:p>
        </w:tc>
        <w:tc>
          <w:tcPr>
            <w:tcW w:type="dxa" w:w="1080"/>
          </w:tcPr>
          <w:p>
            <w:r>
              <w:rPr>
                <w:rFonts w:ascii="Calibri" w:hAnsi="Calibri"/>
                <w:sz w:val="22"/>
              </w:rPr>
              <w:t>No specific Q2 guidance; FY targets reaffirmed</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$9.34</w:t>
            </w:r>
          </w:p>
        </w:tc>
        <w:tc>
          <w:tcPr>
            <w:tcW w:type="dxa" w:w="1080"/>
          </w:tcPr>
          <w:p>
            <w:r>
              <w:rPr>
                <w:rFonts w:ascii="Calibri" w:hAnsi="Calibri"/>
                <w:sz w:val="22"/>
              </w:rPr>
              <w:t>$9.44</w:t>
            </w:r>
          </w:p>
        </w:tc>
        <w:tc>
          <w:tcPr>
            <w:tcW w:type="dxa" w:w="1080"/>
          </w:tcPr>
          <w:p>
            <w:r>
              <w:rPr>
                <w:rFonts w:ascii="Calibri" w:hAnsi="Calibri"/>
                <w:b/>
                <w:color w:val="30A46C"/>
                <w:sz w:val="22"/>
              </w:rPr>
              <w:t>+1.1%</w:t>
            </w:r>
          </w:p>
        </w:tc>
        <w:tc>
          <w:tcPr>
            <w:tcW w:type="dxa" w:w="1080"/>
          </w:tcPr>
          <w:p>
            <w:r>
              <w:rPr>
                <w:rFonts w:ascii="Calibri" w:hAnsi="Calibri"/>
                <w:sz w:val="22"/>
              </w:rPr>
              <w:t>FY2026 targets reaffirmed; EPS growth above high end of target range ex-sig variances</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Tracking above initial post-Q1 baseline</w:t>
            </w:r>
          </w:p>
        </w:tc>
      </w:tr>
      <w:tr>
        <w:tc>
          <w:tcPr>
            <w:tcW w:type="dxa" w:w="1080"/>
          </w:tcPr>
          <w:p>
            <w:r>
              <w:rPr>
                <w:rFonts w:ascii="Calibri" w:hAnsi="Calibri"/>
                <w:sz w:val="22"/>
              </w:rPr>
              <w:t>Core EPS — Q2 2026</w:t>
            </w:r>
          </w:p>
        </w:tc>
        <w:tc>
          <w:tcPr>
            <w:tcW w:type="dxa" w:w="1080"/>
          </w:tcPr>
          <w:p>
            <w:r>
              <w:rPr>
                <w:rFonts w:ascii="Calibri" w:hAnsi="Calibri"/>
                <w:sz w:val="22"/>
              </w:rPr>
              <w:t>$2.35</w:t>
            </w:r>
          </w:p>
        </w:tc>
        <w:tc>
          <w:tcPr>
            <w:tcW w:type="dxa" w:w="1080"/>
          </w:tcPr>
          <w:p>
            <w:r>
              <w:rPr>
                <w:rFonts w:ascii="Calibri" w:hAnsi="Calibri"/>
                <w:sz w:val="22"/>
              </w:rPr>
              <w:t>$2.35</w:t>
            </w:r>
          </w:p>
        </w:tc>
        <w:tc>
          <w:tcPr>
            <w:tcW w:type="dxa" w:w="1080"/>
          </w:tcPr>
          <w:p>
            <w:r>
              <w:rPr>
                <w:rFonts w:ascii="Calibri" w:hAnsi="Calibri"/>
                <w:sz w:val="22"/>
              </w:rPr>
              <w:t>0.0%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EPS — FY2026</w:t>
            </w:r>
          </w:p>
        </w:tc>
        <w:tc>
          <w:tcPr>
            <w:tcW w:type="dxa" w:w="1080"/>
          </w:tcPr>
          <w:p>
            <w:r>
              <w:rPr>
                <w:rFonts w:ascii="Calibri" w:hAnsi="Calibri"/>
                <w:sz w:val="22"/>
              </w:rPr>
              <w:t>$9.49</w:t>
            </w:r>
          </w:p>
        </w:tc>
        <w:tc>
          <w:tcPr>
            <w:tcW w:type="dxa" w:w="1080"/>
          </w:tcPr>
          <w:p>
            <w:r>
              <w:rPr>
                <w:rFonts w:ascii="Calibri" w:hAnsi="Calibri"/>
                <w:sz w:val="22"/>
              </w:rPr>
              <w:t>$9.57</w:t>
            </w:r>
          </w:p>
        </w:tc>
        <w:tc>
          <w:tcPr>
            <w:tcW w:type="dxa" w:w="1080"/>
          </w:tcPr>
          <w:p>
            <w:r>
              <w:rPr>
                <w:rFonts w:ascii="Calibri" w:hAnsi="Calibri"/>
                <w:sz w:val="22"/>
              </w:rPr>
              <w:t>+0.8%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SBD Loss Ratio — Q2 2026 (%)</w:t>
            </w:r>
          </w:p>
        </w:tc>
        <w:tc>
          <w:tcPr>
            <w:tcW w:type="dxa" w:w="1080"/>
          </w:tcPr>
          <w:p>
            <w:r>
              <w:rPr>
                <w:rFonts w:ascii="Calibri" w:hAnsi="Calibri"/>
                <w:sz w:val="22"/>
              </w:rPr>
              <w:t>60.5%</w:t>
            </w:r>
          </w:p>
        </w:tc>
        <w:tc>
          <w:tcPr>
            <w:tcW w:type="dxa" w:w="1080"/>
          </w:tcPr>
          <w:p>
            <w:r>
              <w:rPr>
                <w:rFonts w:ascii="Calibri" w:hAnsi="Calibri"/>
                <w:sz w:val="22"/>
              </w:rPr>
              <w:t>60.4%</w:t>
            </w:r>
          </w:p>
        </w:tc>
        <w:tc>
          <w:tcPr>
            <w:tcW w:type="dxa" w:w="1080"/>
          </w:tcPr>
          <w:p>
            <w:r>
              <w:rPr>
                <w:rFonts w:ascii="Calibri" w:hAnsi="Calibri"/>
                <w:sz w:val="22"/>
              </w:rPr>
              <w:t>-0.1 pp</w:t>
            </w:r>
          </w:p>
        </w:tc>
        <w:tc>
          <w:tcPr>
            <w:tcW w:type="dxa" w:w="1080"/>
          </w:tcPr>
          <w:p>
            <w:r>
              <w:rPr>
                <w:rFonts w:ascii="Calibri" w:hAnsi="Calibri"/>
                <w:sz w:val="22"/>
              </w:rPr>
              <w:t>Q2 seasonally highest for Dental; full-year at low end or below target range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~in line with seasonal guidance</w:t>
            </w:r>
          </w:p>
        </w:tc>
      </w:tr>
      <w:tr>
        <w:tc>
          <w:tcPr>
            <w:tcW w:type="dxa" w:w="1080"/>
          </w:tcPr>
          <w:p>
            <w:r>
              <w:rPr>
                <w:rFonts w:ascii="Calibri" w:hAnsi="Calibri"/>
                <w:sz w:val="22"/>
              </w:rPr>
              <w:t>SBD Loss Ratio — FY2026 (%)</w:t>
            </w:r>
          </w:p>
        </w:tc>
        <w:tc>
          <w:tcPr>
            <w:tcW w:type="dxa" w:w="1080"/>
          </w:tcPr>
          <w:p>
            <w:r>
              <w:rPr>
                <w:rFonts w:ascii="Calibri" w:hAnsi="Calibri"/>
                <w:sz w:val="22"/>
              </w:rPr>
              <w:t>59.4%</w:t>
            </w:r>
          </w:p>
        </w:tc>
        <w:tc>
          <w:tcPr>
            <w:tcW w:type="dxa" w:w="1080"/>
          </w:tcPr>
          <w:p>
            <w:r>
              <w:rPr>
                <w:rFonts w:ascii="Calibri" w:hAnsi="Calibri"/>
                <w:sz w:val="22"/>
              </w:rPr>
              <w:t>59.3%</w:t>
            </w:r>
          </w:p>
        </w:tc>
        <w:tc>
          <w:tcPr>
            <w:tcW w:type="dxa" w:w="1080"/>
          </w:tcPr>
          <w:p>
            <w:r>
              <w:rPr>
                <w:rFonts w:ascii="Calibri" w:hAnsi="Calibri"/>
                <w:sz w:val="22"/>
              </w:rPr>
              <w:t>-0.1 pp</w:t>
            </w:r>
          </w:p>
        </w:tc>
        <w:tc>
          <w:tcPr>
            <w:tcW w:type="dxa" w:w="1080"/>
          </w:tcPr>
          <w:p>
            <w:r>
              <w:rPr>
                <w:rFonts w:ascii="Calibri" w:hAnsi="Calibri"/>
                <w:sz w:val="22"/>
              </w:rPr>
              <w:t>Full-year at low end or slightly below low end of target range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slightly above mgmt's favorable view; modest upside risk</w:t>
            </w:r>
          </w:p>
        </w:tc>
      </w:tr>
      <w:tr>
        <w:tc>
          <w:tcPr>
            <w:tcW w:type="dxa" w:w="1080"/>
          </w:tcPr>
          <w:p>
            <w:r>
              <w:rPr>
                <w:rFonts w:ascii="Calibri" w:hAnsi="Calibri"/>
                <w:sz w:val="22"/>
              </w:rPr>
              <w:t>IM Net Cash Flows — Q2 2026 ($M)</w:t>
            </w:r>
          </w:p>
        </w:tc>
        <w:tc>
          <w:tcPr>
            <w:tcW w:type="dxa" w:w="1080"/>
          </w:tcPr>
          <w:p>
            <w:r>
              <w:rPr>
                <w:rFonts w:ascii="Calibri" w:hAnsi="Calibri"/>
                <w:sz w:val="22"/>
              </w:rPr>
              <w:t>-$1,570M</w:t>
            </w:r>
          </w:p>
        </w:tc>
        <w:tc>
          <w:tcPr>
            <w:tcW w:type="dxa" w:w="1080"/>
          </w:tcPr>
          <w:p>
            <w:r>
              <w:rPr>
                <w:rFonts w:ascii="Calibri" w:hAnsi="Calibri"/>
                <w:sz w:val="22"/>
              </w:rPr>
              <w:t>-$5,492M</w:t>
            </w:r>
          </w:p>
        </w:tc>
        <w:tc>
          <w:tcPr>
            <w:tcW w:type="dxa" w:w="1080"/>
          </w:tcPr>
          <w:p>
            <w:r>
              <w:rPr>
                <w:rFonts w:ascii="Calibri" w:hAnsi="Calibri"/>
                <w:b/>
                <w:color w:val="E5484D"/>
                <w:sz w:val="22"/>
              </w:rPr>
              <w:t>-250%</w:t>
            </w:r>
          </w:p>
        </w:tc>
        <w:tc>
          <w:tcPr>
            <w:tcW w:type="dxa" w:w="1080"/>
          </w:tcPr>
          <w:p>
            <w:r>
              <w:rPr>
                <w:rFonts w:ascii="Calibri" w:hAnsi="Calibri"/>
                <w:sz w:val="22"/>
              </w:rPr>
              <w:t>NCF profile to improve through year as redemptions normalize; pipeline &gt;$9B</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far worse than mgmt's improvement narrative — key divergence</w:t>
            </w:r>
          </w:p>
        </w:tc>
      </w:tr>
      <w:tr>
        <w:tc>
          <w:tcPr>
            <w:tcW w:type="dxa" w:w="1080"/>
          </w:tcPr>
          <w:p>
            <w:r>
              <w:rPr>
                <w:rFonts w:ascii="Calibri" w:hAnsi="Calibri"/>
                <w:sz w:val="22"/>
              </w:rPr>
              <w:t>IM Net Cash Flows — FY2026 ($M)</w:t>
            </w:r>
          </w:p>
        </w:tc>
        <w:tc>
          <w:tcPr>
            <w:tcW w:type="dxa" w:w="1080"/>
          </w:tcPr>
          <w:p>
            <w:r>
              <w:rPr>
                <w:rFonts w:ascii="Calibri" w:hAnsi="Calibri"/>
                <w:sz w:val="22"/>
              </w:rPr>
              <w:t>-$7,841M</w:t>
            </w:r>
          </w:p>
        </w:tc>
        <w:tc>
          <w:tcPr>
            <w:tcW w:type="dxa" w:w="1080"/>
          </w:tcPr>
          <w:p>
            <w:r>
              <w:rPr>
                <w:rFonts w:ascii="Calibri" w:hAnsi="Calibri"/>
                <w:sz w:val="22"/>
              </w:rPr>
              <w:t>-$10,875M</w:t>
            </w:r>
          </w:p>
        </w:tc>
        <w:tc>
          <w:tcPr>
            <w:tcW w:type="dxa" w:w="1080"/>
          </w:tcPr>
          <w:p>
            <w:r>
              <w:rPr>
                <w:rFonts w:ascii="Calibri" w:hAnsi="Calibri"/>
                <w:b/>
                <w:color w:val="E5484D"/>
                <w:sz w:val="22"/>
              </w:rPr>
              <w:t>-38.7%</w:t>
            </w:r>
          </w:p>
        </w:tc>
        <w:tc>
          <w:tcPr>
            <w:tcW w:type="dxa" w:w="1080"/>
          </w:tcPr>
          <w:p>
            <w:r>
              <w:rPr>
                <w:rFonts w:ascii="Calibri" w:hAnsi="Calibri"/>
                <w:sz w:val="22"/>
              </w:rPr>
              <w:t>Improvement expected through year; commitment pipeline growing</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FY consensus has deteriorated significantly since Q1 print; Street skeptical of mgmt's NCF recovery narrative</w:t>
            </w:r>
          </w:p>
        </w:tc>
      </w:tr>
    </w:tbl>
    <w:p>
      <w:r>
        <w:rPr>
          <w:rFonts w:ascii="Calibri" w:hAnsi="Calibri"/>
          <w:color w:val="525866"/>
          <w:sz w:val="22"/>
        </w:rPr>
        <w:t>The most notable divergence is in Investment Management net cash flows: the post-Q1 baseline consensus was -$1.6B for Q2 2026, but current consensus has deteriorated to -$5.5B — a 250% worsening — suggesting the Street has grown more skeptical of management's redemption normalization narrative. If actual Q2 NCF comes in better than this depressed bar, it could be a meaningful positive catalyst.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PFG has outperformed both the insurance sector ETF (IAK, +11.0%) and the S&amp;P 500 (+4.3%) since Q1 2026 earnings, with the stock up +12.8% — performance appears driven by a combination of estimate revisions (FY2026 EPS edging higher) and multiple re-rating, as the stock now trades above the average analyst price target of ~$103, suggesting some beat is already priced in.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PFG vs. IAK (Insurance ETF) vs. S&amp;P 500 — Indexed to 100 at Q1 2026 Earnings (Apr 23, 2026). Source: Yahoo Finance.</w:t>
      </w:r>
    </w:p>
    <w:p>
      <w:r>
        <w:rPr>
          <w:rFonts w:ascii="Calibri" w:hAnsi="Calibri"/>
          <w:color w:val="525866"/>
          <w:sz w:val="22"/>
        </w:rPr>
        <w:t>Since Q1 2026 earnings on April 23, PFG has returned +12.8% vs. +11.0% for the iShares U.S. Insurance ETF (IAK) and +4.3% for the S&amp;P 500 (SPY). The stock's outperformance vs. the sector ETF is modest (~1.8 pp), suggesting the move is partly sector-driven (insurance broadly re-rated higher) and partly PFG-specific. The July 20 AUM disclosure ($808B, up ~5% from Q1) provided a positive pre-earnings data point and likely contributed to the stock's push to a 52-week high near $114 in mid-July before pulling back slightly. At ~$109 as of July 25, PFG trades above the consensus analyst price target of ~$103, implying the stock has priced in a solid print. The sector ETF used is IAK (iShares U.S. Insurance ETF), which is appropriate for PFG's insurance and financial services sub-sector. Source: Yahoo Finance / Stock Price Data.</w:t>
      </w:r>
    </w:p>
    <w:p>
      <w:r>
        <w:br w:type="page"/>
      </w:r>
    </w:p>
    <w:p>
      <w:pPr>
        <w:pStyle w:val="Heading2"/>
      </w:pPr>
      <w:r>
        <w:rPr>
          <w:rFonts w:ascii="Calibri" w:hAnsi="Calibri"/>
          <w:b/>
          <w:color w:val="3B4259"/>
          <w:sz w:val="28"/>
        </w:rPr>
        <w:t>6. Peer Commentaries — Read-Through for PFG Q2 2026</w:t>
      </w:r>
    </w:p>
    <w:p>
      <w:r>
        <w:rPr>
          <w:rFonts w:ascii="Calibri" w:hAnsi="Calibri"/>
          <w:b/>
          <w:color w:val="525866"/>
          <w:sz w:val="22"/>
        </w:rPr>
        <w:t xml:space="preserve">Key Takeaway: </w:t>
      </w:r>
      <w:r>
        <w:rPr>
          <w:rFonts w:ascii="Calibri" w:hAnsi="Calibri"/>
          <w:color w:val="525866"/>
          <w:sz w:val="22"/>
        </w:rPr>
        <w:t>Peer Q1 2026 earnings calls (April–May 2026) provide broadly constructive read-throughs for PFG's Q2 setup: group insurance loss ratios are expected to normalize/moderate in H2 (favorable for Specialty Benefits), asset manager peers report improving flow momentum and strong private markets pipelines (supportive of PFG's IM recovery narrative), and retirement/annuity demand remains robust. The key cautionary signal is Prudential's commentary on macro-driven disability claim deterioration, which is a watch item for PFG's group disability book.</w:t>
      </w:r>
    </w:p>
    <w:p>
      <w:r>
        <w:rPr>
          <w:rFonts w:ascii="Calibri" w:hAnsi="Calibri"/>
          <w:i/>
          <w:color w:val="525866"/>
          <w:sz w:val="22"/>
        </w:rPr>
        <w:t>Note: All peer commentary below is forward-looking, sourced from Q1 2026 earnings calls (reporting on Q1 results and providing Q2/full-year 2026 outlook), or Q2 2026 earnings calls where available. Backward-looking Q1 result commentary has been excluded.</w:t>
      </w:r>
    </w:p>
    <w:p>
      <w:pPr>
        <w:pStyle w:val="Heading3"/>
      </w:pPr>
      <w:r>
        <w:rPr>
          <w:rFonts w:ascii="Calibri" w:hAnsi="Calibri"/>
          <w:b/>
          <w:color w:val="3B4259"/>
          <w:sz w:val="24"/>
        </w:rPr>
        <w:t>Theme 1: Specialty Benefits / Group Insurance Loss Ratios — Seasonal Normalization Expected in H2</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 (Forward-Looking)</w:t>
            </w:r>
          </w:p>
        </w:tc>
        <w:tc>
          <w:tcPr>
            <w:tcW w:type="dxa" w:w="2160"/>
            <w:shd w:val="clear" w:color="auto" w:fill="3B4259"/>
          </w:tcPr>
          <w:p>
            <w:r>
              <w:rPr>
                <w:rFonts w:ascii="Calibri" w:hAnsi="Calibri"/>
                <w:b/>
                <w:color w:val="FFFFFF"/>
                <w:sz w:val="22"/>
              </w:rPr>
              <w:t>PFG Read-Through</w:t>
            </w:r>
          </w:p>
        </w:tc>
      </w:tr>
      <w:tr>
        <w:tc>
          <w:tcPr>
            <w:tcW w:type="dxa" w:w="2160"/>
          </w:tcPr>
          <w:p>
            <w:r>
              <w:rPr>
                <w:rFonts w:ascii="Calibri" w:hAnsi="Calibri"/>
                <w:sz w:val="22"/>
              </w:rPr>
              <w:t>MetLife (MET)</w:t>
            </w:r>
          </w:p>
        </w:tc>
        <w:tc>
          <w:tcPr>
            <w:tcW w:type="dxa" w:w="2160"/>
          </w:tcPr>
          <w:p>
            <w:r>
              <w:rPr>
                <w:rFonts w:ascii="Calibri" w:hAnsi="Calibri"/>
                <w:sz w:val="22"/>
              </w:rPr>
              <w:t>May 7, 2026 (Q1 2026 Earnings Call)</w:t>
            </w:r>
          </w:p>
        </w:tc>
        <w:tc>
          <w:tcPr>
            <w:tcW w:type="dxa" w:w="2160"/>
          </w:tcPr>
          <w:p>
            <w:r>
              <w:rPr>
                <w:rFonts w:ascii="Calibri" w:hAnsi="Calibri"/>
                <w:sz w:val="22"/>
              </w:rPr>
              <w:t>On dental: "we would expect utilization to moderate in the second half of the year, and that's kind of consistent with historical trends." On disability: higher claims from new state-mandated paid family leave programs have "higher upfront claims that tend to normalize" — "we would expect that impact to also moderate in the second half of the year." On group life mortality: favorable trends, but repricing would happen "in years, not quarters."</w:t>
            </w:r>
          </w:p>
        </w:tc>
        <w:tc>
          <w:tcPr>
            <w:tcW w:type="dxa" w:w="2160"/>
          </w:tcPr>
          <w:p>
            <w:r>
              <w:rPr>
                <w:rFonts w:ascii="Calibri" w:hAnsi="Calibri"/>
                <w:sz w:val="22"/>
              </w:rPr>
              <w:t>Constructive for PFG's Specialty Benefits: dental utilization expected to be seasonally elevated in Q2 (consistent with PFG's own guidance) but moderate in H2. Disability normalization narrative aligns with PFG's favorable Q1 disability results. Favorable mortality read-through for PFG's Life Insurance segment.</w:t>
            </w:r>
          </w:p>
        </w:tc>
      </w:tr>
      <w:tr>
        <w:tc>
          <w:tcPr>
            <w:tcW w:type="dxa" w:w="2160"/>
          </w:tcPr>
          <w:p>
            <w:r>
              <w:rPr>
                <w:rFonts w:ascii="Calibri" w:hAnsi="Calibri"/>
                <w:sz w:val="22"/>
              </w:rPr>
              <w:t>Prudential (PRU)</w:t>
            </w:r>
          </w:p>
        </w:tc>
        <w:tc>
          <w:tcPr>
            <w:tcW w:type="dxa" w:w="2160"/>
          </w:tcPr>
          <w:p>
            <w:r>
              <w:rPr>
                <w:rFonts w:ascii="Calibri" w:hAnsi="Calibri"/>
                <w:sz w:val="22"/>
              </w:rPr>
              <w:t>May 6, 2026 (Q1 2026 Earnings Call)</w:t>
            </w:r>
          </w:p>
        </w:tc>
        <w:tc>
          <w:tcPr>
            <w:tcW w:type="dxa" w:w="2160"/>
          </w:tcPr>
          <w:p>
            <w:r>
              <w:rPr>
                <w:rFonts w:ascii="Calibri" w:hAnsi="Calibri"/>
                <w:sz w:val="22"/>
              </w:rPr>
              <w:t>"Increased macroeconomic uncertainty impacted disability underwriting as experience continued to normalize from unusually favorable prior year levels." Greater uncertainty around job loss ("tens of thousands of jobs being eliminated from large companies") leads to "higher incidents and higher severity" in LTD, particularly for upmarket/large employer books. Total benefits ratio increased to 83.7% but remained within 83%-87% target range. Expects performance to remain within guidance range.</w:t>
            </w:r>
          </w:p>
        </w:tc>
        <w:tc>
          <w:tcPr>
            <w:tcW w:type="dxa" w:w="2160"/>
          </w:tcPr>
          <w:p>
            <w:r>
              <w:rPr>
                <w:rFonts w:ascii="Calibri" w:hAnsi="Calibri"/>
                <w:sz w:val="22"/>
              </w:rPr>
              <w:t>Cautionary read-through for PFG's group disability book: macro-driven LTD deterioration is a watch item, though PFG's SMB-focused book may be less exposed than PRU's large-employer book. PFG's Q1 disability was strong; Q2 could see some normalization pressure if macro uncertainty persists.</w:t>
            </w:r>
          </w:p>
        </w:tc>
      </w:tr>
      <w:tr>
        <w:tc>
          <w:tcPr>
            <w:tcW w:type="dxa" w:w="2160"/>
          </w:tcPr>
          <w:p>
            <w:r>
              <w:rPr>
                <w:rFonts w:ascii="Calibri" w:hAnsi="Calibri"/>
                <w:sz w:val="22"/>
              </w:rPr>
              <w:t>Voya Financial (VOYA)</w:t>
            </w:r>
          </w:p>
        </w:tc>
        <w:tc>
          <w:tcPr>
            <w:tcW w:type="dxa" w:w="2160"/>
          </w:tcPr>
          <w:p>
            <w:r>
              <w:rPr>
                <w:rFonts w:ascii="Calibri" w:hAnsi="Calibri"/>
                <w:sz w:val="22"/>
              </w:rPr>
              <w:t>May 6, 2026 (Q1 2026 Earnings Call)</w:t>
            </w:r>
          </w:p>
        </w:tc>
        <w:tc>
          <w:tcPr>
            <w:tcW w:type="dxa" w:w="2160"/>
          </w:tcPr>
          <w:p>
            <w:r>
              <w:rPr>
                <w:rFonts w:ascii="Calibri" w:hAnsi="Calibri"/>
                <w:sz w:val="22"/>
              </w:rPr>
              <w:t>On Stop Loss: "firmly on the path to full margin recovery" with ~24% rate increases and improved risk selection. Expects calendar year Stop Loss loss ratio to perform better than 84% (prior year). On Group Life: Q1 loss ratio of 70.6% vs. 77%-80% long-term target — "base case expectation is for the loss ratio to return to the 77%-80% range in Q2, Q3, and Q4." Laser-focused on margin improvement in Employee Benefits.</w:t>
            </w:r>
          </w:p>
        </w:tc>
        <w:tc>
          <w:tcPr>
            <w:tcW w:type="dxa" w:w="2160"/>
          </w:tcPr>
          <w:p>
            <w:r>
              <w:rPr>
                <w:rFonts w:ascii="Calibri" w:hAnsi="Calibri"/>
                <w:sz w:val="22"/>
              </w:rPr>
              <w:t>Mixed read-through: VOYA's Stop Loss recovery is positive for the group benefits pricing environment. Group Life normalization (loss ratio returning to target range in Q2) is consistent with PFG's own guidance that Q1 life favorability was unlikely to fully repeat — supports expectation of a more normalized Q2 Life Insurance result for PFG.</w:t>
            </w:r>
          </w:p>
        </w:tc>
      </w:tr>
    </w:tbl>
    <w:p>
      <w:pPr>
        <w:pStyle w:val="Heading3"/>
      </w:pPr>
      <w:r>
        <w:rPr>
          <w:rFonts w:ascii="Calibri" w:hAnsi="Calibri"/>
          <w:b/>
          <w:color w:val="3B4259"/>
          <w:sz w:val="24"/>
        </w:rPr>
        <w:t>Theme 2: Asset Management Flows &amp; Private Markets — Improving Momentum, Strong Pipelines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 (Forward-Looking)</w:t>
            </w:r>
          </w:p>
        </w:tc>
        <w:tc>
          <w:tcPr>
            <w:tcW w:type="dxa" w:w="2160"/>
            <w:shd w:val="clear" w:color="auto" w:fill="3B4259"/>
          </w:tcPr>
          <w:p>
            <w:r>
              <w:rPr>
                <w:rFonts w:ascii="Calibri" w:hAnsi="Calibri"/>
                <w:b/>
                <w:color w:val="FFFFFF"/>
                <w:sz w:val="22"/>
              </w:rPr>
              <w:t>PFG Read-Through</w:t>
            </w:r>
          </w:p>
        </w:tc>
      </w:tr>
      <w:tr>
        <w:tc>
          <w:tcPr>
            <w:tcW w:type="dxa" w:w="2160"/>
          </w:tcPr>
          <w:p>
            <w:r>
              <w:rPr>
                <w:rFonts w:ascii="Calibri" w:hAnsi="Calibri"/>
                <w:sz w:val="22"/>
              </w:rPr>
              <w:t>Franklin Templeton (BEN)</w:t>
            </w:r>
          </w:p>
        </w:tc>
        <w:tc>
          <w:tcPr>
            <w:tcW w:type="dxa" w:w="2160"/>
          </w:tcPr>
          <w:p>
            <w:r>
              <w:rPr>
                <w:rFonts w:ascii="Calibri" w:hAnsi="Calibri"/>
                <w:sz w:val="22"/>
              </w:rPr>
              <w:t>Apr 28, 2026 (Q2 FY2026 Earnings Call — calendar Q1 2026)</w:t>
            </w:r>
          </w:p>
        </w:tc>
        <w:tc>
          <w:tcPr>
            <w:tcW w:type="dxa" w:w="2160"/>
          </w:tcPr>
          <w:p>
            <w:r>
              <w:rPr>
                <w:rFonts w:ascii="Calibri" w:hAnsi="Calibri"/>
                <w:sz w:val="22"/>
              </w:rPr>
              <w:t>$16.9B in long-term net inflows; record gross sales; positive net flows in every region. Institutional pipeline of won-but-unfunded mandates at $20.2B. Private markets fundraising of $14.3B in the quarter; fiscal YTD at $22.7B, on track to exceed $25B-$30B annual target. ETF AUM at record $61.6B (+67% YoY). "We are ahead of our 5-year plan." Multi-asset: 19th consecutive quarter of positive flows.</w:t>
            </w:r>
          </w:p>
        </w:tc>
        <w:tc>
          <w:tcPr>
            <w:tcW w:type="dxa" w:w="2160"/>
          </w:tcPr>
          <w:p>
            <w:r>
              <w:rPr>
                <w:rFonts w:ascii="Calibri" w:hAnsi="Calibri"/>
                <w:sz w:val="22"/>
              </w:rPr>
              <w:t>Positive read-through for PFG's Investment Management: BEN's record gross sales and strong institutional pipeline suggest the broader asset management demand environment is healthy. Private markets fundraising momentum is a positive signal for PFG's growing private markets AUM (real estate, infrastructure, private credit). BEN's multi-asset flow strength is relevant to PFG's asset allocation strategies.</w:t>
            </w:r>
          </w:p>
        </w:tc>
      </w:tr>
      <w:tr>
        <w:tc>
          <w:tcPr>
            <w:tcW w:type="dxa" w:w="2160"/>
          </w:tcPr>
          <w:p>
            <w:r>
              <w:rPr>
                <w:rFonts w:ascii="Calibri" w:hAnsi="Calibri"/>
                <w:sz w:val="22"/>
              </w:rPr>
              <w:t>Invesco (IVZ)</w:t>
            </w:r>
          </w:p>
        </w:tc>
        <w:tc>
          <w:tcPr>
            <w:tcW w:type="dxa" w:w="2160"/>
          </w:tcPr>
          <w:p>
            <w:r>
              <w:rPr>
                <w:rFonts w:ascii="Calibri" w:hAnsi="Calibri"/>
                <w:sz w:val="22"/>
              </w:rPr>
              <w:t>Apr 28, 2026 (Q1 2026 Earnings Call)</w:t>
            </w:r>
          </w:p>
        </w:tc>
        <w:tc>
          <w:tcPr>
            <w:tcW w:type="dxa" w:w="2160"/>
          </w:tcPr>
          <w:p>
            <w:r>
              <w:rPr>
                <w:rFonts w:ascii="Calibri" w:hAnsi="Calibri"/>
                <w:sz w:val="22"/>
              </w:rPr>
              <w:t>11th straight quarter of net long-term inflows ($21.8B); 4% annualized organic growth. "With abating market volatility in April, we have seen strong demand and net inflows returned" for flagship products. Asia Pacific: 17% annualized organic growth; EMEA: 8%. Active ETF platform at &gt;$20B. Private markets: launched Invesco Core Plus Real Estate Trust for DC plans. Expects operating expenses for 2026 in the $3.275B range; margin path to "mid-30s on a path to high 30s."</w:t>
            </w:r>
          </w:p>
        </w:tc>
        <w:tc>
          <w:tcPr>
            <w:tcW w:type="dxa" w:w="2160"/>
          </w:tcPr>
          <w:p>
            <w:r>
              <w:rPr>
                <w:rFonts w:ascii="Calibri" w:hAnsi="Calibri"/>
                <w:sz w:val="22"/>
              </w:rPr>
              <w:t>Constructive read-through: IVZ's 11 consecutive quarters of net inflows and improving April momentum (post-market volatility) is a positive signal for the broader active management flow environment. IVZ's DC private markets product launch is relevant to PFG's privates-in-retirement-plans opportunity (DOL safe harbor). International flow strength (Asia, EMEA) is a positive read-through for PFG's International Pension segment.</w:t>
            </w:r>
          </w:p>
        </w:tc>
      </w:tr>
      <w:tr>
        <w:tc>
          <w:tcPr>
            <w:tcW w:type="dxa" w:w="2160"/>
          </w:tcPr>
          <w:p>
            <w:r>
              <w:rPr>
                <w:rFonts w:ascii="Calibri" w:hAnsi="Calibri"/>
                <w:sz w:val="22"/>
              </w:rPr>
              <w:t>MetLife (MET)</w:t>
            </w:r>
          </w:p>
        </w:tc>
        <w:tc>
          <w:tcPr>
            <w:tcW w:type="dxa" w:w="2160"/>
          </w:tcPr>
          <w:p>
            <w:r>
              <w:rPr>
                <w:rFonts w:ascii="Calibri" w:hAnsi="Calibri"/>
                <w:sz w:val="22"/>
              </w:rPr>
              <w:t>May 7, 2026 (Q1 2026 Earnings Call)</w:t>
            </w:r>
          </w:p>
        </w:tc>
        <w:tc>
          <w:tcPr>
            <w:tcW w:type="dxa" w:w="2160"/>
          </w:tcPr>
          <w:p>
            <w:r>
              <w:rPr>
                <w:rFonts w:ascii="Calibri" w:hAnsi="Calibri"/>
                <w:sz w:val="22"/>
              </w:rPr>
              <w:t>MIM (MetLife Investment Management): "outflows have stabilized the latter part of Q1 and so far in April, and we're seeing a solid pipeline ahead." "We feel very good about the demand that's there for our products, the depth of the pipeline that we're seeing and our ability to continue to generate new net flows." Private assets pipeline "looks strong." CML portfolio: "liquidity and price discovery pick up, and we expect this trend to continue through the year."</w:t>
            </w:r>
          </w:p>
        </w:tc>
        <w:tc>
          <w:tcPr>
            <w:tcW w:type="dxa" w:w="2160"/>
          </w:tcPr>
          <w:p>
            <w:r>
              <w:rPr>
                <w:rFonts w:ascii="Calibri" w:hAnsi="Calibri"/>
                <w:sz w:val="22"/>
              </w:rPr>
              <w:t>Positive read-through for PFG's IM flow recovery narrative: MET's stabilization of outflows in late Q1/April and strong private assets pipeline is consistent with PFG management's expectation that redemption activity normalizes through 2026. CML/real estate liquidity pickup is a positive signal for PFG's variable investment income recovery.</w:t>
            </w:r>
          </w:p>
        </w:tc>
      </w:tr>
      <w:tr>
        <w:tc>
          <w:tcPr>
            <w:tcW w:type="dxa" w:w="2160"/>
          </w:tcPr>
          <w:p>
            <w:r>
              <w:rPr>
                <w:rFonts w:ascii="Calibri" w:hAnsi="Calibri"/>
                <w:sz w:val="22"/>
              </w:rPr>
              <w:t>Equitable Holdings (EQH) / AllianceBernstein (AB)</w:t>
            </w:r>
          </w:p>
        </w:tc>
        <w:tc>
          <w:tcPr>
            <w:tcW w:type="dxa" w:w="2160"/>
          </w:tcPr>
          <w:p>
            <w:r>
              <w:rPr>
                <w:rFonts w:ascii="Calibri" w:hAnsi="Calibri"/>
                <w:sz w:val="22"/>
              </w:rPr>
              <w:t>May 5, 2026 (Q1 2026 Earnings Call)</w:t>
            </w:r>
          </w:p>
        </w:tc>
        <w:tc>
          <w:tcPr>
            <w:tcW w:type="dxa" w:w="2160"/>
          </w:tcPr>
          <w:p>
            <w:r>
              <w:rPr>
                <w:rFonts w:ascii="Calibri" w:hAnsi="Calibri"/>
                <w:sz w:val="22"/>
              </w:rPr>
              <w:t>AB had net outflows of $7.1B in Q1, but "private wealth and private markets remain bright spots as both had positive flows." Record institutional pipeline of nearly $28B, including "several large insurance mandates that will fund over the next few quarters." Private markets AUM grew 13% YoY to $85B; on track for $90B-$100B target by end of 2027. Performance fee forecast raised from $80M-$100M to $95M-$115M for full year.</w:t>
            </w:r>
          </w:p>
        </w:tc>
        <w:tc>
          <w:tcPr>
            <w:tcW w:type="dxa" w:w="2160"/>
          </w:tcPr>
          <w:p>
            <w:r>
              <w:rPr>
                <w:rFonts w:ascii="Calibri" w:hAnsi="Calibri"/>
                <w:sz w:val="22"/>
              </w:rPr>
              <w:t>Mixed read-through: AB's large institutional pipeline (including insurance mandates) is a positive signal for PFG's own institutional pipeline and commitment pipeline ($9B+). Private markets growth momentum is consistent with PFG's private markets AUM expansion narrative. AB's overall net outflows (driven by active equities) are a cautionary parallel to PFG's own U.S. active equity redemption headwinds.</w:t>
            </w:r>
          </w:p>
        </w:tc>
      </w:tr>
      <w:tr>
        <w:tc>
          <w:tcPr>
            <w:tcW w:type="dxa" w:w="2160"/>
          </w:tcPr>
          <w:p>
            <w:r>
              <w:rPr>
                <w:rFonts w:ascii="Calibri" w:hAnsi="Calibri"/>
                <w:sz w:val="22"/>
              </w:rPr>
              <w:t>Prudential (PRU) / PGIM</w:t>
            </w:r>
          </w:p>
        </w:tc>
        <w:tc>
          <w:tcPr>
            <w:tcW w:type="dxa" w:w="2160"/>
          </w:tcPr>
          <w:p>
            <w:r>
              <w:rPr>
                <w:rFonts w:ascii="Calibri" w:hAnsi="Calibri"/>
                <w:sz w:val="22"/>
              </w:rPr>
              <w:t>May 6, 2026 (Q1 2026 Earnings Call)</w:t>
            </w:r>
          </w:p>
        </w:tc>
        <w:tc>
          <w:tcPr>
            <w:tcW w:type="dxa" w:w="2160"/>
          </w:tcPr>
          <w:p>
            <w:r>
              <w:rPr>
                <w:rFonts w:ascii="Calibri" w:hAnsi="Calibri"/>
                <w:sz w:val="22"/>
              </w:rPr>
              <w:t>"PGIM's total flow picture improved meaningfully on a sequential basis." Third-party net inflows of nearly $2B despite "ongoing pressure from active equity outflows consistent with industry trends." Private assets: "good momentum" with capital deployment and fundraising continuing to increase since 2023. Direct lending and asset-backed finance "yielding strong results." Active ETF platform at nearly $30B, "almost doubling over the last year."</w:t>
            </w:r>
          </w:p>
        </w:tc>
        <w:tc>
          <w:tcPr>
            <w:tcW w:type="dxa" w:w="2160"/>
          </w:tcPr>
          <w:p>
            <w:r>
              <w:rPr>
                <w:rFonts w:ascii="Calibri" w:hAnsi="Calibri"/>
                <w:sz w:val="22"/>
              </w:rPr>
              <w:t>Constructive read-through: PGIM's sequential flow improvement and strong private assets momentum is consistent with PFG's own narrative of improving NCF through 2026. Active equity outflow pressure "consistent with industry trends" validates PFG's explanation for its U.S. active equity redemptions. Private credit/direct lending strength is a positive signal for PFG's private markets AUM growth.</w:t>
            </w:r>
          </w:p>
        </w:tc>
      </w:tr>
    </w:tbl>
    <w:p>
      <w:pPr>
        <w:pStyle w:val="Heading3"/>
      </w:pPr>
      <w:r>
        <w:rPr>
          <w:rFonts w:ascii="Calibri" w:hAnsi="Calibri"/>
          <w:b/>
          <w:color w:val="3B4259"/>
          <w:sz w:val="24"/>
        </w:rPr>
        <w:t>Theme 3: Retirement / Defined Contribution — Robust Demand, SMB Resilience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 (Forward-Looking)</w:t>
            </w:r>
          </w:p>
        </w:tc>
        <w:tc>
          <w:tcPr>
            <w:tcW w:type="dxa" w:w="2160"/>
            <w:shd w:val="clear" w:color="auto" w:fill="3B4259"/>
          </w:tcPr>
          <w:p>
            <w:r>
              <w:rPr>
                <w:rFonts w:ascii="Calibri" w:hAnsi="Calibri"/>
                <w:b/>
                <w:color w:val="FFFFFF"/>
                <w:sz w:val="22"/>
              </w:rPr>
              <w:t>PFG Read-Through</w:t>
            </w:r>
          </w:p>
        </w:tc>
      </w:tr>
      <w:tr>
        <w:tc>
          <w:tcPr>
            <w:tcW w:type="dxa" w:w="2160"/>
          </w:tcPr>
          <w:p>
            <w:r>
              <w:rPr>
                <w:rFonts w:ascii="Calibri" w:hAnsi="Calibri"/>
                <w:sz w:val="22"/>
              </w:rPr>
              <w:t>Voya Financial (VOYA)</w:t>
            </w:r>
          </w:p>
        </w:tc>
        <w:tc>
          <w:tcPr>
            <w:tcW w:type="dxa" w:w="2160"/>
          </w:tcPr>
          <w:p>
            <w:r>
              <w:rPr>
                <w:rFonts w:ascii="Calibri" w:hAnsi="Calibri"/>
                <w:sz w:val="22"/>
              </w:rPr>
              <w:t>May 6, 2026 (Q1 2026 Earnings Call)</w:t>
            </w:r>
          </w:p>
        </w:tc>
        <w:tc>
          <w:tcPr>
            <w:tcW w:type="dxa" w:w="2160"/>
          </w:tcPr>
          <w:p>
            <w:r>
              <w:rPr>
                <w:rFonts w:ascii="Calibri" w:hAnsi="Calibri"/>
                <w:sz w:val="22"/>
              </w:rPr>
              <w:t>Expects positive net flows for full year 2026 in Retirement; "on track for a fifth consecutive year of positive organic DC net flows." Large record keeping: new wins scheduled to begin funding in Q2 and Q3. Plan retention &gt;95%. Full-service sales in emerging markets up 13% YoY; government sector sales up 200% YoY. "Encouraged by recent legislative and regulatory momentum expanding access to retirement savings for Americans, particularly workers at small and midsized employers."</w:t>
            </w:r>
          </w:p>
        </w:tc>
        <w:tc>
          <w:tcPr>
            <w:tcW w:type="dxa" w:w="2160"/>
          </w:tcPr>
          <w:p>
            <w:r>
              <w:rPr>
                <w:rFonts w:ascii="Calibri" w:hAnsi="Calibri"/>
                <w:sz w:val="22"/>
              </w:rPr>
              <w:t>Positive read-through for PFG's RIS segment: VOYA's strong DC flow momentum and SMB-focused retirement expansion is directly relevant to PFG's core market. Legislative/regulatory tailwinds (coverage mandates, auto-enrollment) are a positive backdrop for PFG's SMB retirement franchise. VOYA's Q2/Q3 new win fundings are consistent with PFG's own large case win pipeline.</w:t>
            </w:r>
          </w:p>
        </w:tc>
      </w:tr>
      <w:tr>
        <w:tc>
          <w:tcPr>
            <w:tcW w:type="dxa" w:w="2160"/>
          </w:tcPr>
          <w:p>
            <w:r>
              <w:rPr>
                <w:rFonts w:ascii="Calibri" w:hAnsi="Calibri"/>
                <w:sz w:val="22"/>
              </w:rPr>
              <w:t>Equitable Holdings (EQH)</w:t>
            </w:r>
          </w:p>
        </w:tc>
        <w:tc>
          <w:tcPr>
            <w:tcW w:type="dxa" w:w="2160"/>
          </w:tcPr>
          <w:p>
            <w:r>
              <w:rPr>
                <w:rFonts w:ascii="Calibri" w:hAnsi="Calibri"/>
                <w:sz w:val="22"/>
              </w:rPr>
              <w:t>May 5, 2026 (Q1 2026 Earnings Call)</w:t>
            </w:r>
          </w:p>
        </w:tc>
        <w:tc>
          <w:tcPr>
            <w:tcW w:type="dxa" w:w="2160"/>
          </w:tcPr>
          <w:p>
            <w:r>
              <w:rPr>
                <w:rFonts w:ascii="Calibri" w:hAnsi="Calibri"/>
                <w:sz w:val="22"/>
              </w:rPr>
              <w:t>"Strong demand for RILAs driven by favorable demographics and the macro uncertainty. Consumer sentiment is at an all-time low, so people are looking for protected equity stories." RILA sales up 14% YoY with pricing discipline maintained. Total retirement sales up 10% YoY with $1.3B of net inflows. NIM spread "beginning to stabilize." Expects higher average AUM vs. 2025 to provide "near-term tailwind for earnings."</w:t>
            </w:r>
          </w:p>
        </w:tc>
        <w:tc>
          <w:tcPr>
            <w:tcW w:type="dxa" w:w="2160"/>
          </w:tcPr>
          <w:p>
            <w:r>
              <w:rPr>
                <w:rFonts w:ascii="Calibri" w:hAnsi="Calibri"/>
                <w:sz w:val="22"/>
              </w:rPr>
              <w:t>Constructive read-through for PFG's RIS: strong annuity/retirement demand environment is a positive backdrop for PFG's RIS fee and spread businesses. NIM spread stabilization is relevant to PFG's RIS spread segment. Higher average AUM tailwind (market recovery) is consistent with PFG's Q2 AUM disclosure of $808B.</w:t>
            </w:r>
          </w:p>
        </w:tc>
      </w:tr>
      <w:tr>
        <w:tc>
          <w:tcPr>
            <w:tcW w:type="dxa" w:w="2160"/>
          </w:tcPr>
          <w:p>
            <w:r>
              <w:rPr>
                <w:rFonts w:ascii="Calibri" w:hAnsi="Calibri"/>
                <w:sz w:val="22"/>
              </w:rPr>
              <w:t>Prudential (PRU)</w:t>
            </w:r>
          </w:p>
        </w:tc>
        <w:tc>
          <w:tcPr>
            <w:tcW w:type="dxa" w:w="2160"/>
          </w:tcPr>
          <w:p>
            <w:r>
              <w:rPr>
                <w:rFonts w:ascii="Calibri" w:hAnsi="Calibri"/>
                <w:sz w:val="22"/>
              </w:rPr>
              <w:t>May 6, 2026 (Q1 2026 Earnings Call)</w:t>
            </w:r>
          </w:p>
        </w:tc>
        <w:tc>
          <w:tcPr>
            <w:tcW w:type="dxa" w:w="2160"/>
          </w:tcPr>
          <w:p>
            <w:r>
              <w:rPr>
                <w:rFonts w:ascii="Calibri" w:hAnsi="Calibri"/>
                <w:sz w:val="22"/>
              </w:rPr>
              <w:t>PRT: "We expect that '26 will mirror '25 and that demand should get stronger in the second half." Reduced PRT activity in Q1 due to macro uncertainty and geopolitics: "volatility and uncertainty make business leaders slower in decision-making." Retail annuities: &gt;$3B in sales; RILA FlexGuard 2.0 at highest quarterly sales in over a year. Expects 2026 to mirror 2025 with lighter H1 and stronger H2 PRT.</w:t>
            </w:r>
          </w:p>
        </w:tc>
        <w:tc>
          <w:tcPr>
            <w:tcW w:type="dxa" w:w="2160"/>
          </w:tcPr>
          <w:p>
            <w:r>
              <w:rPr>
                <w:rFonts w:ascii="Calibri" w:hAnsi="Calibri"/>
                <w:sz w:val="22"/>
              </w:rPr>
              <w:t>Consistent with PFG's own Q2 PRT guidance: PFG's CFO noted the PRT pipeline is "a little light in Q2" and expects a similar H1/H2 pattern to 2025. PRU's commentary validates PFG's cautious Q2 PRT outlook and supports the expectation of H2 acceleration. Macro uncertainty impact on PRT decision-making is a shared industry dynamic.</w:t>
            </w:r>
          </w:p>
        </w:tc>
      </w:tr>
    </w:tbl>
    <w:p>
      <w:pPr>
        <w:pStyle w:val="Heading3"/>
      </w:pPr>
      <w:r>
        <w:rPr>
          <w:rFonts w:ascii="Calibri" w:hAnsi="Calibri"/>
          <w:b/>
          <w:color w:val="3B4259"/>
          <w:sz w:val="24"/>
        </w:rPr>
        <w:t>Theme 4: Macro Environment — Yield Curve, Variable Investment Income, Credit Quality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Commentary (Forward-Looking)</w:t>
            </w:r>
          </w:p>
        </w:tc>
        <w:tc>
          <w:tcPr>
            <w:tcW w:type="dxa" w:w="2160"/>
            <w:shd w:val="clear" w:color="auto" w:fill="3B4259"/>
          </w:tcPr>
          <w:p>
            <w:r>
              <w:rPr>
                <w:rFonts w:ascii="Calibri" w:hAnsi="Calibri"/>
                <w:b/>
                <w:color w:val="FFFFFF"/>
                <w:sz w:val="22"/>
              </w:rPr>
              <w:t>PFG Read-Through</w:t>
            </w:r>
          </w:p>
        </w:tc>
      </w:tr>
      <w:tr>
        <w:tc>
          <w:tcPr>
            <w:tcW w:type="dxa" w:w="2160"/>
          </w:tcPr>
          <w:p>
            <w:r>
              <w:rPr>
                <w:rFonts w:ascii="Calibri" w:hAnsi="Calibri"/>
                <w:sz w:val="22"/>
              </w:rPr>
              <w:t>MetLife (MET)</w:t>
            </w:r>
          </w:p>
        </w:tc>
        <w:tc>
          <w:tcPr>
            <w:tcW w:type="dxa" w:w="2160"/>
          </w:tcPr>
          <w:p>
            <w:r>
              <w:rPr>
                <w:rFonts w:ascii="Calibri" w:hAnsi="Calibri"/>
                <w:sz w:val="22"/>
              </w:rPr>
              <w:t>May 7, 2026 (Q1 2026 Earnings Call)</w:t>
            </w:r>
          </w:p>
        </w:tc>
        <w:tc>
          <w:tcPr>
            <w:tcW w:type="dxa" w:w="2160"/>
          </w:tcPr>
          <w:p>
            <w:r>
              <w:rPr>
                <w:rFonts w:ascii="Calibri" w:hAnsi="Calibri"/>
                <w:sz w:val="22"/>
              </w:rPr>
              <w:t>"The yield curve remains persistently flat with the short end higher than maybe relative to our outlook expectation of the curve steepening. So that actually puts a bit of a headwind on us." Q2 RIS core spreads expected to remain "close to where we are in Q1, maybe slightly above, modest improvement." CML portfolio: "liquidity and price discovery pick up, and we expect this trend to continue through the year." VII: "manage the business assuming a normalized level of VII over time and remain comfortable with our full year outlook."</w:t>
            </w:r>
          </w:p>
        </w:tc>
        <w:tc>
          <w:tcPr>
            <w:tcW w:type="dxa" w:w="2160"/>
          </w:tcPr>
          <w:p>
            <w:r>
              <w:rPr>
                <w:rFonts w:ascii="Calibri" w:hAnsi="Calibri"/>
                <w:sz w:val="22"/>
              </w:rPr>
              <w:t>Relevant to PFG's RIS spread and VII outlook: flat yield curve is a shared headwind for spread-based earnings. MET's expectation of modest Q2 spread improvement is consistent with PFG's own VII recovery narrative. CML liquidity pickup is a positive signal for PFG's real estate transaction activity (key driver of VII improvement).</w:t>
            </w:r>
          </w:p>
        </w:tc>
      </w:tr>
      <w:tr>
        <w:tc>
          <w:tcPr>
            <w:tcW w:type="dxa" w:w="2160"/>
          </w:tcPr>
          <w:p>
            <w:r>
              <w:rPr>
                <w:rFonts w:ascii="Calibri" w:hAnsi="Calibri"/>
                <w:sz w:val="22"/>
              </w:rPr>
              <w:t>Equitable Holdings (EQH)</w:t>
            </w:r>
          </w:p>
        </w:tc>
        <w:tc>
          <w:tcPr>
            <w:tcW w:type="dxa" w:w="2160"/>
          </w:tcPr>
          <w:p>
            <w:r>
              <w:rPr>
                <w:rFonts w:ascii="Calibri" w:hAnsi="Calibri"/>
                <w:sz w:val="22"/>
              </w:rPr>
              <w:t>May 5, 2026 (Q1 2026 Earnings Call)</w:t>
            </w:r>
          </w:p>
        </w:tc>
        <w:tc>
          <w:tcPr>
            <w:tcW w:type="dxa" w:w="2160"/>
          </w:tcPr>
          <w:p>
            <w:r>
              <w:rPr>
                <w:rFonts w:ascii="Calibri" w:hAnsi="Calibri"/>
                <w:sz w:val="22"/>
              </w:rPr>
              <w:t>Alternative investment portfolio (2% of general account) generated 3.5% annualized return in Q1; projects 2%-3% return in Q2 due to "weaker market conditions in Q1." Full-year alt portfolio return now expected "below prior 8%-9% guidance." Credit portfolio "continues to perform well"; positioned for severe stress scenario. "No signs of weakness in our portfolio."</w:t>
            </w:r>
          </w:p>
        </w:tc>
        <w:tc>
          <w:tcPr>
            <w:tcW w:type="dxa" w:w="2160"/>
          </w:tcPr>
          <w:p>
            <w:r>
              <w:rPr>
                <w:rFonts w:ascii="Calibri" w:hAnsi="Calibri"/>
                <w:sz w:val="22"/>
              </w:rPr>
              <w:t>Relevant to PFG's variable investment income: EQH's lower alt portfolio return in Q2 is a cautionary signal for PFG's own VII (which was already impacted by no real estate transaction activity in Q1). However, PFG's VII is more driven by real estate transactions than CLO equity, so the read-through is partial. Credit quality commentary is broadly constructive for PFG's investment portfolio.</w:t>
            </w:r>
          </w:p>
        </w:tc>
      </w:tr>
    </w:tbl>
    <w:p>
      <w:r>
        <w:rPr>
          <w:rFonts w:ascii="Calibri" w:hAnsi="Calibri"/>
          <w:b/>
          <w:color w:val="525866"/>
          <w:sz w:val="22"/>
        </w:rPr>
        <w:t xml:space="preserve">Summary of Peer Read-Through: </w:t>
      </w:r>
      <w:r>
        <w:rPr>
          <w:rFonts w:ascii="Calibri" w:hAnsi="Calibri"/>
          <w:color w:val="525866"/>
          <w:sz w:val="22"/>
        </w:rPr>
        <w:t>The overall peer read-through for PFG Q2 2026 is modestly constructive. Group insurance loss ratios are expected to normalize seasonally in Q2 (elevated dental) but moderate in H2 — consistent with PFG's own guidance. Asset management flow momentum is improving across the industry, with strong private markets pipelines supporting PFG's NCF recovery narrative, though the Street remains skeptical (consensus at -$5.5B for Q2). Retirement demand is robust, with favorable demographics and macro uncertainty driving annuity/DC demand. The key cautionary signal is Prudential's macro-driven disability deterioration, which is a watch item for PFG's group disability book, though PFG's SMB focus may provide some insulation vs. PRU's large-employer book.</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July 20 AUM disclosure showing $808B in total managed AUM as of June 30 — a 6.4% positive market/FX impact — which is a direct positive read-through for fee-based earnings in RIS and Investment Management and reduces uncertainty heading into the print.</w:t>
      </w:r>
    </w:p>
    <w:p>
      <w:pPr>
        <w:pStyle w:val="ListBullet"/>
        <w:ind w:left="360" w:hanging="360"/>
      </w:pPr>
      <w:r>
        <w:rPr>
          <w:rFonts w:ascii="Calibri" w:hAnsi="Calibri"/>
          <w:b/>
          <w:color w:val="525866"/>
          <w:sz w:val="22"/>
        </w:rPr>
        <w:t>July 20, 2026 — Q2 2026 AUM Pre-Disclosure (8-K):</w:t>
      </w:r>
      <w:r>
        <w:rPr>
          <w:rFonts w:ascii="Calibri" w:hAnsi="Calibri"/>
          <w:color w:val="525866"/>
          <w:sz w:val="22"/>
        </w:rPr>
        <w:t xml:space="preserve"> PFG disclosed total managed AUM of $808.0 billion as of June 30, 2026 ($601.9B from Principal Asset Management – Investment Management; $168.5B from International Pension). A 6.4% positive impact from market performance, FX translation, and other items was noted. This is a direct positive read-through for Q2 fee income in both RIS and Investment Management. Implication: reduces downside risk on AUM-driven revenue lines; supports consensus fee income estimates.</w:t>
      </w:r>
    </w:p>
    <w:p>
      <w:pPr>
        <w:pStyle w:val="ListBullet"/>
        <w:ind w:left="360" w:hanging="360"/>
      </w:pPr>
      <w:r>
        <w:rPr>
          <w:rFonts w:ascii="Calibri" w:hAnsi="Calibri"/>
          <w:b/>
          <w:color w:val="525866"/>
          <w:sz w:val="22"/>
        </w:rPr>
        <w:t>July 1, 2026 — Q2 2026 Earnings Date Announcement:</w:t>
      </w:r>
      <w:r>
        <w:rPr>
          <w:rFonts w:ascii="Calibri" w:hAnsi="Calibri"/>
          <w:color w:val="525866"/>
          <w:sz w:val="22"/>
        </w:rPr>
        <w:t xml:space="preserve"> PFG confirmed Q2 2026 results will be released after market close on July 27, 2026, with a conference call on July 28 at 10 AM ET. No new guidance or business updates were included.</w:t>
      </w:r>
    </w:p>
    <w:p>
      <w:pPr>
        <w:pStyle w:val="ListBullet"/>
        <w:ind w:left="360" w:hanging="360"/>
      </w:pPr>
      <w:r>
        <w:rPr>
          <w:rFonts w:ascii="Calibri" w:hAnsi="Calibri"/>
          <w:b/>
          <w:color w:val="525866"/>
          <w:sz w:val="22"/>
        </w:rPr>
        <w:t>April 24, 2026 — Q1 2026 Earnings Call — Key Forward-Looking Statements:</w:t>
      </w:r>
      <w:r>
        <w:rPr>
          <w:rFonts w:ascii="Calibri" w:hAnsi="Calibri"/>
          <w:color w:val="525866"/>
          <w:sz w:val="22"/>
        </w:rPr>
        <w:t xml:space="preserve"> Management reaffirmed all 2026 financial targets with confidence. Key Q2-specific guidance: (1) Specialty Benefits loss ratio rises seasonally in Q2 due to dental; (2) PRT pipeline "a little light" in Q2 but H2 expected to accelerate; (3) RIS transfer deposits expected to follow historical pattern with Q1 as strongest quarter; (4) Investment Management NCF profile expected to improve through year as redemptions normalize; (5) VII expected to improve full-year vs. 2025 with pickup in real estate transaction activity in Q2-Q4. Implication: sets the bar for Q2 and provides the framework against which results will be judged.</w:t>
      </w:r>
    </w:p>
    <w:p>
      <w:pPr>
        <w:pStyle w:val="ListBullet"/>
        <w:ind w:left="360" w:hanging="360"/>
      </w:pPr>
      <w:r>
        <w:rPr>
          <w:rFonts w:ascii="Calibri" w:hAnsi="Calibri"/>
          <w:b/>
          <w:color w:val="525866"/>
          <w:sz w:val="22"/>
        </w:rPr>
        <w:t>April 23, 2026 — Q1 2026 Earnings Release:</w:t>
      </w:r>
      <w:r>
        <w:rPr>
          <w:rFonts w:ascii="Calibri" w:hAnsi="Calibri"/>
          <w:color w:val="525866"/>
          <w:sz w:val="22"/>
        </w:rPr>
        <w:t xml:space="preserve"> PFG reported Q1 2026 Operating EPS of $2.07 (beat vs. $2.02 consensus). Specialty Benefits loss ratio of 58.5% (well below 61.4% consensus). Total managed AUM of $770B (+7% YoY). Investment Management NCF of -$2.9B (worse than -$2.5B consensus). Life Insurance had a standout quarter on favorable mortality. Significant variances were a modest drag (no real estate transaction activity). Implication: strong Q1 set a high bar for Q2, particularly on Specialty Benefits; IM flows remain the key overhang.</w:t>
      </w:r>
    </w:p>
    <w:p>
      <w:pPr>
        <w:pStyle w:val="ListBullet"/>
        <w:ind w:left="360" w:hanging="360"/>
      </w:pPr>
      <w:r>
        <w:rPr>
          <w:rFonts w:ascii="Calibri" w:hAnsi="Calibri"/>
          <w:b/>
          <w:color w:val="525866"/>
          <w:sz w:val="22"/>
        </w:rPr>
        <w:t>Macro / Industry — SMB Employment &amp; Wage Trends:</w:t>
      </w:r>
      <w:r>
        <w:rPr>
          <w:rFonts w:ascii="Calibri" w:hAnsi="Calibri"/>
          <w:color w:val="525866"/>
          <w:sz w:val="22"/>
        </w:rPr>
        <w:t xml:space="preserve"> PFG management noted on the Q1 call that "both employment and wage growth are really holding steady in our block" with wage growth "looking really healthy" and employment growth "moderated just a bit but aligned with expectations." Peer commentary (PRU) flagged macro uncertainty driving higher LTD claims in large-employer books. Implication: PFG's SMB-focused book appears more insulated from macro-driven disability deterioration than large-employer peers, but bears monitoring.</w:t>
      </w:r>
    </w:p>
    <w:p>
      <w:pPr>
        <w:pStyle w:val="ListBullet"/>
        <w:ind w:left="360" w:hanging="360"/>
      </w:pPr>
      <w:r>
        <w:rPr>
          <w:rFonts w:ascii="Calibri" w:hAnsi="Calibri"/>
          <w:b/>
          <w:color w:val="525866"/>
          <w:sz w:val="22"/>
        </w:rPr>
        <w:t>Regulatory — DOL Safe Harbor for Privates in Retirement Plans:</w:t>
      </w:r>
      <w:r>
        <w:rPr>
          <w:rFonts w:ascii="Calibri" w:hAnsi="Calibri"/>
          <w:color w:val="525866"/>
          <w:sz w:val="22"/>
        </w:rPr>
        <w:t xml:space="preserve"> Management characterized the DOL guidance as "an important step" but noted it "is going to take time, it's going to be slow" and "a bit more measured progress as opposed to a big wave of inclusion." Invesco (IVZ) launched a DC private real estate CIT in Q1 2026, signaling early industry movement. Implication: long-term positive for PFG's retirement ecosystem but not a near-term Q2 earnings driver.</w:t>
      </w:r>
    </w:p>
    <w:p>
      <w:pPr>
        <w:pStyle w:val="ListBullet"/>
        <w:ind w:left="360" w:hanging="360"/>
      </w:pPr>
      <w:r>
        <w:rPr>
          <w:rFonts w:ascii="Calibri" w:hAnsi="Calibri"/>
          <w:b/>
          <w:color w:val="525866"/>
          <w:sz w:val="22"/>
        </w:rPr>
        <w:t>Analyst Consensus — Rating &amp; Price Target:</w:t>
      </w:r>
      <w:r>
        <w:rPr>
          <w:rFonts w:ascii="Calibri" w:hAnsi="Calibri"/>
          <w:color w:val="525866"/>
          <w:sz w:val="22"/>
        </w:rPr>
        <w:t xml:space="preserve"> Consensus rating is "Hold" (10 of 14 analysts). Average price target ~$103.23; Street-high $125. PFG currently trades above the average price target at ~$109, suggesting limited upside priced in at current levels absent a meaningful beat. Implication: the stock needs a clean beat with positive NCF commentary to sustain/extend the recent outperformance.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were filed in the period; all insider activity consists of sales and equity award grants. The most notable activity is a cluster of open-market sales by Wee Yee Cheong (President – Asia &amp; Middle East) in late April/early May totaling ~18,200 shares, and CEO Deanna Strable's sales in June (filed under what appear to be pre-planned transactions). The broad-based equity award grants to directors and executives on June 26 are routine annual compensation events and carry no signal. No discretionary open-market buys were observed — no bullish insider signal heading into the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Deanna D. Strable-Soethout</w:t>
            </w:r>
          </w:p>
        </w:tc>
        <w:tc>
          <w:tcPr>
            <w:tcW w:type="dxa" w:w="1440"/>
          </w:tcPr>
          <w:p>
            <w:r>
              <w:rPr>
                <w:rFonts w:ascii="Calibri" w:hAnsi="Calibri"/>
                <w:sz w:val="22"/>
              </w:rPr>
              <w:t>Chair, President &amp; CEO</w:t>
            </w:r>
          </w:p>
        </w:tc>
        <w:tc>
          <w:tcPr>
            <w:tcW w:type="dxa" w:w="1440"/>
          </w:tcPr>
          <w:p>
            <w:r>
              <w:rPr>
                <w:rFonts w:ascii="Calibri" w:hAnsi="Calibri"/>
                <w:sz w:val="22"/>
              </w:rPr>
              <w:t>Open Market Sale</w:t>
            </w:r>
          </w:p>
        </w:tc>
        <w:tc>
          <w:tcPr>
            <w:tcW w:type="dxa" w:w="1440"/>
          </w:tcPr>
          <w:p>
            <w:r>
              <w:rPr>
                <w:rFonts w:ascii="Calibri" w:hAnsi="Calibri"/>
                <w:sz w:val="22"/>
              </w:rPr>
              <w:t>Multiple tranches (Jun 11–12, 2026)</w:t>
            </w:r>
          </w:p>
        </w:tc>
        <w:tc>
          <w:tcPr>
            <w:tcW w:type="dxa" w:w="1440"/>
          </w:tcPr>
          <w:p>
            <w:r>
              <w:rPr>
                <w:rFonts w:ascii="Calibri" w:hAnsi="Calibri"/>
                <w:sz w:val="22"/>
              </w:rPr>
              <w:t>Jun 11–12, 2026</w:t>
            </w:r>
          </w:p>
        </w:tc>
        <w:tc>
          <w:tcPr>
            <w:tcW w:type="dxa" w:w="1440"/>
          </w:tcPr>
          <w:p>
            <w:r>
              <w:rPr>
                <w:rFonts w:ascii="Calibri" w:hAnsi="Calibri"/>
                <w:sz w:val="22"/>
              </w:rPr>
              <w:t>Multiple Form 4 filings; likely pre-planned/diversification; no 10b5-1 flag in data but clustered around stock near 52-week high (~$110-$111)</w:t>
            </w:r>
          </w:p>
        </w:tc>
      </w:tr>
      <w:tr>
        <w:tc>
          <w:tcPr>
            <w:tcW w:type="dxa" w:w="1440"/>
          </w:tcPr>
          <w:p>
            <w:r>
              <w:rPr>
                <w:rFonts w:ascii="Calibri" w:hAnsi="Calibri"/>
                <w:sz w:val="22"/>
              </w:rPr>
              <w:t>Deanna D. Strable-Soethout</w:t>
            </w:r>
          </w:p>
        </w:tc>
        <w:tc>
          <w:tcPr>
            <w:tcW w:type="dxa" w:w="1440"/>
          </w:tcPr>
          <w:p>
            <w:r>
              <w:rPr>
                <w:rFonts w:ascii="Calibri" w:hAnsi="Calibri"/>
                <w:sz w:val="22"/>
              </w:rPr>
              <w:t>Chair, President &amp; CEO</w:t>
            </w:r>
          </w:p>
        </w:tc>
        <w:tc>
          <w:tcPr>
            <w:tcW w:type="dxa" w:w="1440"/>
          </w:tcPr>
          <w:p>
            <w:r>
              <w:rPr>
                <w:rFonts w:ascii="Calibri" w:hAnsi="Calibri"/>
                <w:sz w:val="22"/>
              </w:rPr>
              <w:t>Equity Award Grant (Code A)</w:t>
            </w:r>
          </w:p>
        </w:tc>
        <w:tc>
          <w:tcPr>
            <w:tcW w:type="dxa" w:w="1440"/>
          </w:tcPr>
          <w:p>
            <w:r>
              <w:rPr>
                <w:rFonts w:ascii="Calibri" w:hAnsi="Calibri"/>
                <w:sz w:val="22"/>
              </w:rPr>
              <w:t>Annual grant (Jun 26, 2026)</w:t>
            </w:r>
          </w:p>
        </w:tc>
        <w:tc>
          <w:tcPr>
            <w:tcW w:type="dxa" w:w="1440"/>
          </w:tcPr>
          <w:p>
            <w:r>
              <w:rPr>
                <w:rFonts w:ascii="Calibri" w:hAnsi="Calibri"/>
                <w:sz w:val="22"/>
              </w:rPr>
              <w:t>Jun 26, 2026</w:t>
            </w:r>
          </w:p>
        </w:tc>
        <w:tc>
          <w:tcPr>
            <w:tcW w:type="dxa" w:w="1440"/>
          </w:tcPr>
          <w:p>
            <w:r>
              <w:rPr>
                <w:rFonts w:ascii="Calibri" w:hAnsi="Calibri"/>
                <w:sz w:val="22"/>
              </w:rPr>
              <w:t>Routine annual equity compensation grant; no signal</w:t>
            </w:r>
          </w:p>
        </w:tc>
      </w:tr>
      <w:tr>
        <w:tc>
          <w:tcPr>
            <w:tcW w:type="dxa" w:w="1440"/>
          </w:tcPr>
          <w:p>
            <w:r>
              <w:rPr>
                <w:rFonts w:ascii="Calibri" w:hAnsi="Calibri"/>
                <w:sz w:val="22"/>
              </w:rPr>
              <w:t>Wee Yee Cheong</w:t>
            </w:r>
          </w:p>
        </w:tc>
        <w:tc>
          <w:tcPr>
            <w:tcW w:type="dxa" w:w="1440"/>
          </w:tcPr>
          <w:p>
            <w:r>
              <w:rPr>
                <w:rFonts w:ascii="Calibri" w:hAnsi="Calibri"/>
                <w:sz w:val="22"/>
              </w:rPr>
              <w:t>President – Asia &amp; Middle East</w:t>
            </w:r>
          </w:p>
        </w:tc>
        <w:tc>
          <w:tcPr>
            <w:tcW w:type="dxa" w:w="1440"/>
          </w:tcPr>
          <w:p>
            <w:r>
              <w:rPr>
                <w:rFonts w:ascii="Calibri" w:hAnsi="Calibri"/>
                <w:sz w:val="22"/>
              </w:rPr>
              <w:t>Open Market Sale</w:t>
            </w:r>
          </w:p>
        </w:tc>
        <w:tc>
          <w:tcPr>
            <w:tcW w:type="dxa" w:w="1440"/>
          </w:tcPr>
          <w:p>
            <w:r>
              <w:rPr>
                <w:rFonts w:ascii="Calibri" w:hAnsi="Calibri"/>
                <w:sz w:val="22"/>
              </w:rPr>
              <w:t>1,080 shares (Apr 29); 4,737 shares (Apr 30); 9,183 shares (May 1); 3,211 shares (May 20)</w:t>
            </w:r>
          </w:p>
        </w:tc>
        <w:tc>
          <w:tcPr>
            <w:tcW w:type="dxa" w:w="1440"/>
          </w:tcPr>
          <w:p>
            <w:r>
              <w:rPr>
                <w:rFonts w:ascii="Calibri" w:hAnsi="Calibri"/>
                <w:sz w:val="22"/>
              </w:rPr>
              <w:t>Apr 29 – May 20, 2026</w:t>
            </w:r>
          </w:p>
        </w:tc>
        <w:tc>
          <w:tcPr>
            <w:tcW w:type="dxa" w:w="1440"/>
          </w:tcPr>
          <w:p>
            <w:r>
              <w:rPr>
                <w:rFonts w:ascii="Calibri" w:hAnsi="Calibri"/>
                <w:sz w:val="22"/>
              </w:rPr>
              <w:t>Cluster of sales totaling ~18,211 shares over ~3 weeks post-Q1 earnings; no 10b5-1 flag; discretionary sales at $99–$103 range; notable but not unusual for a senior executive post-earnings window opening</w:t>
            </w:r>
          </w:p>
        </w:tc>
      </w:tr>
      <w:tr>
        <w:tc>
          <w:tcPr>
            <w:tcW w:type="dxa" w:w="1440"/>
          </w:tcPr>
          <w:p>
            <w:r>
              <w:rPr>
                <w:rFonts w:ascii="Calibri" w:hAnsi="Calibri"/>
                <w:sz w:val="22"/>
              </w:rPr>
              <w:t>George Djurasovic</w:t>
            </w:r>
          </w:p>
        </w:tc>
        <w:tc>
          <w:tcPr>
            <w:tcW w:type="dxa" w:w="1440"/>
          </w:tcPr>
          <w:p>
            <w:r>
              <w:rPr>
                <w:rFonts w:ascii="Calibri" w:hAnsi="Calibri"/>
                <w:sz w:val="22"/>
              </w:rPr>
              <w:t>Interim General Counsel</w:t>
            </w:r>
          </w:p>
        </w:tc>
        <w:tc>
          <w:tcPr>
            <w:tcW w:type="dxa" w:w="1440"/>
          </w:tcPr>
          <w:p>
            <w:r>
              <w:rPr>
                <w:rFonts w:ascii="Calibri" w:hAnsi="Calibri"/>
                <w:sz w:val="22"/>
              </w:rPr>
              <w:t>Open Market Sale</w:t>
            </w:r>
          </w:p>
        </w:tc>
        <w:tc>
          <w:tcPr>
            <w:tcW w:type="dxa" w:w="1440"/>
          </w:tcPr>
          <w:p>
            <w:r>
              <w:rPr>
                <w:rFonts w:ascii="Calibri" w:hAnsi="Calibri"/>
                <w:sz w:val="22"/>
              </w:rPr>
              <w:t>2,571 shares (Apr 28); 0.989 shares (Apr 30)</w:t>
            </w:r>
          </w:p>
        </w:tc>
        <w:tc>
          <w:tcPr>
            <w:tcW w:type="dxa" w:w="1440"/>
          </w:tcPr>
          <w:p>
            <w:r>
              <w:rPr>
                <w:rFonts w:ascii="Calibri" w:hAnsi="Calibri"/>
                <w:sz w:val="22"/>
              </w:rPr>
              <w:t>Apr 28–30, 2026</w:t>
            </w:r>
          </w:p>
        </w:tc>
        <w:tc>
          <w:tcPr>
            <w:tcW w:type="dxa" w:w="1440"/>
          </w:tcPr>
          <w:p>
            <w:r>
              <w:rPr>
                <w:rFonts w:ascii="Calibri" w:hAnsi="Calibri"/>
                <w:sz w:val="22"/>
              </w:rPr>
              <w:t>Small sales immediately post-Q1 earnings; likely tax withholding or window-opening sales; de minimis signal</w:t>
            </w:r>
          </w:p>
        </w:tc>
      </w:tr>
      <w:tr>
        <w:tc>
          <w:tcPr>
            <w:tcW w:type="dxa" w:w="1440"/>
          </w:tcPr>
          <w:p>
            <w:r>
              <w:rPr>
                <w:rFonts w:ascii="Calibri" w:hAnsi="Calibri"/>
                <w:sz w:val="22"/>
              </w:rPr>
              <w:t>Multiple Directors &amp; Executives (Agrawal, Auerbach, Beams, Bhatia, Carter Miller, Friedrich, Hochschild, Kay, Littlefield, McCullum, Mills, Mitchell, Muruzabal, Nordin, Pickerell, Pitz, Richer, Rivera, et al.)</w:t>
            </w:r>
          </w:p>
        </w:tc>
        <w:tc>
          <w:tcPr>
            <w:tcW w:type="dxa" w:w="1440"/>
          </w:tcPr>
          <w:p>
            <w:r>
              <w:rPr>
                <w:rFonts w:ascii="Calibri" w:hAnsi="Calibri"/>
                <w:sz w:val="22"/>
              </w:rPr>
              <w:t>Various (Directors, EVPs, Presidents)</w:t>
            </w:r>
          </w:p>
        </w:tc>
        <w:tc>
          <w:tcPr>
            <w:tcW w:type="dxa" w:w="1440"/>
          </w:tcPr>
          <w:p>
            <w:r>
              <w:rPr>
                <w:rFonts w:ascii="Calibri" w:hAnsi="Calibri"/>
                <w:sz w:val="22"/>
              </w:rPr>
              <w:t>Equity Award Grant (Code A)</w:t>
            </w:r>
          </w:p>
        </w:tc>
        <w:tc>
          <w:tcPr>
            <w:tcW w:type="dxa" w:w="1440"/>
          </w:tcPr>
          <w:p>
            <w:r>
              <w:rPr>
                <w:rFonts w:ascii="Calibri" w:hAnsi="Calibri"/>
                <w:sz w:val="22"/>
              </w:rPr>
              <w:t>Various (annual grants)</w:t>
            </w:r>
          </w:p>
        </w:tc>
        <w:tc>
          <w:tcPr>
            <w:tcW w:type="dxa" w:w="1440"/>
          </w:tcPr>
          <w:p>
            <w:r>
              <w:rPr>
                <w:rFonts w:ascii="Calibri" w:hAnsi="Calibri"/>
                <w:sz w:val="22"/>
              </w:rPr>
              <w:t>May 19 &amp; Jun 26, 2026</w:t>
            </w:r>
          </w:p>
        </w:tc>
        <w:tc>
          <w:tcPr>
            <w:tcW w:type="dxa" w:w="1440"/>
          </w:tcPr>
          <w:p>
            <w:r>
              <w:rPr>
                <w:rFonts w:ascii="Calibri" w:hAnsi="Calibri"/>
                <w:sz w:val="22"/>
              </w:rPr>
              <w:t>Routine annual equity compensation grants to directors and senior executives; no signal</w:t>
            </w:r>
          </w:p>
        </w:tc>
      </w:tr>
      <w:tr>
        <w:tc>
          <w:tcPr>
            <w:tcW w:type="dxa" w:w="1440"/>
          </w:tcPr>
          <w:p>
            <w:r>
              <w:rPr>
                <w:rFonts w:ascii="Calibri" w:hAnsi="Calibri"/>
                <w:sz w:val="22"/>
              </w:rPr>
              <w:t>Timothy W. Brown</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Annual grant</w:t>
            </w:r>
          </w:p>
        </w:tc>
        <w:tc>
          <w:tcPr>
            <w:tcW w:type="dxa" w:w="1440"/>
          </w:tcPr>
          <w:p>
            <w:r>
              <w:rPr>
                <w:rFonts w:ascii="Calibri" w:hAnsi="Calibri"/>
                <w:sz w:val="22"/>
              </w:rPr>
              <w:t>Jun 8, 2026</w:t>
            </w:r>
          </w:p>
        </w:tc>
        <w:tc>
          <w:tcPr>
            <w:tcW w:type="dxa" w:w="1440"/>
          </w:tcPr>
          <w:p>
            <w:r>
              <w:rPr>
                <w:rFonts w:ascii="Calibri" w:hAnsi="Calibri"/>
                <w:sz w:val="22"/>
              </w:rPr>
              <w:t>Routine director equity compensation; no signal</w:t>
            </w:r>
          </w:p>
        </w:tc>
      </w:tr>
    </w:tbl>
    <w:p>
      <w:r>
        <w:rPr>
          <w:rFonts w:ascii="Calibri" w:hAnsi="Calibri"/>
          <w:b/>
          <w:color w:val="525866"/>
          <w:sz w:val="22"/>
        </w:rPr>
        <w:t xml:space="preserve">Open-market buys: </w:t>
      </w:r>
      <w:r>
        <w:rPr>
          <w:rFonts w:ascii="Calibri" w:hAnsi="Calibri"/>
          <w:color w:val="525866"/>
          <w:sz w:val="22"/>
        </w:rPr>
        <w:t>None observed in the April 23 – July 26, 2026 window. The absence of discretionary buys is neutral — not unusual given the stock's strong run (+12.8% since Q1 earnings) and the pre-earnings blackout period. The CEO's June sales near the 52-week high are worth noting but are not necessarily a bearish signal given the stock's appreciation. Source: SEC Form 4 Filings /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