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Principal Financial Group (PFG)</w:t>
      </w:r>
    </w:p>
    <w:p>
      <w:pPr>
        <w:pStyle w:val="Heading2"/>
      </w:pPr>
      <w:r>
        <w:rPr>
          <w:rFonts w:ascii="Calibri" w:hAnsi="Calibri"/>
          <w:b/>
          <w:color w:val="3B4259"/>
          <w:sz w:val="28"/>
        </w:rPr>
        <w:t>Q2 2026 Earnings Preview</w:t>
      </w:r>
    </w:p>
    <w:p>
      <w:r>
        <w:rPr>
          <w:rFonts w:ascii="Calibri" w:hAnsi="Calibri"/>
          <w:b/>
          <w:color w:val="525866"/>
          <w:sz w:val="22"/>
        </w:rPr>
        <w:t xml:space="preserve">Earnings Call: </w:t>
      </w:r>
      <w:r>
        <w:rPr>
          <w:rFonts w:ascii="Calibri" w:hAnsi="Calibri"/>
          <w:color w:val="525866"/>
          <w:sz w:val="22"/>
        </w:rPr>
        <w:t xml:space="preserve">July 28, 2026  </w:t>
      </w:r>
      <w:r>
        <w:rPr>
          <w:rFonts w:ascii="Calibri" w:hAnsi="Calibri"/>
          <w:b/>
          <w:color w:val="525866"/>
          <w:sz w:val="22"/>
        </w:rPr>
        <w:t xml:space="preserve">  |  Prepared: </w:t>
      </w:r>
      <w:r>
        <w:rPr>
          <w:rFonts w:ascii="Calibri" w:hAnsi="Calibri"/>
          <w:color w:val="525866"/>
          <w:sz w:val="22"/>
        </w:rPr>
        <w:t xml:space="preserve">July 26, 2026  </w:t>
      </w:r>
      <w:r>
        <w:rPr>
          <w:rFonts w:ascii="Calibri" w:hAnsi="Calibri"/>
          <w:b/>
          <w:color w:val="525866"/>
          <w:sz w:val="22"/>
        </w:rPr>
        <w:t xml:space="preserve">  |  Fiscal Period: </w:t>
      </w:r>
      <w:r>
        <w:rPr>
          <w:rFonts w:ascii="Calibri" w:hAnsi="Calibri"/>
          <w:color w:val="525866"/>
          <w:sz w:val="22"/>
        </w:rPr>
        <w:t>2Q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sits at a reasonable bar with Core EPS of ~$2.35 and the stock up ~35% over the past year, but the single biggest swing factor is whether Investment Management net cash flows show meaningful improvement from the deeply negative Q1 print, as any normalization there could drive upside surprise while a continued drag would weigh on sentiment.</w:t>
      </w:r>
    </w:p>
    <w:p>
      <w:r>
        <w:rPr>
          <w:rFonts w:ascii="Calibri" w:hAnsi="Calibri"/>
          <w:color w:val="525866"/>
          <w:sz w:val="22"/>
        </w:rPr>
        <w:t xml:space="preserve">Heading into the Q2 2026 print, the bar for PFG appears achievable but not easy. </w:t>
      </w:r>
      <w:r>
        <w:rPr>
          <w:rFonts w:ascii="Calibri" w:hAnsi="Calibri"/>
          <w:color w:val="525866"/>
          <w:sz w:val="22"/>
        </w:rPr>
        <w:t xml:space="preserve">Consensus Core EPS of ~$2.35 represents a solid step-up from Q1's $2.17 (ex-significant variances) and implies continued execution on the company's 2026 financial targets, which management reaffirmed with confidence on the April call. </w:t>
      </w:r>
      <w:r>
        <w:rPr>
          <w:rFonts w:ascii="Calibri" w:hAnsi="Calibri"/>
          <w:color w:val="525866"/>
          <w:sz w:val="22"/>
        </w:rPr>
        <w:t xml:space="preserve">Guidance tone was constructive: management flagged that Specialty Benefits loss ratios would "rise a bit" seasonally in Q2 given dental seasonality, but reiterated full-year loss ratios are expected to emerge at the low end or even slightly below the target range — a setup that keeps the underwriting story intact even if Q2 is modestly softer than Q1's exceptional 58.5%. </w:t>
      </w:r>
      <w:r>
        <w:rPr>
          <w:rFonts w:ascii="Calibri" w:hAnsi="Calibri"/>
          <w:color w:val="525866"/>
          <w:sz w:val="22"/>
        </w:rPr>
        <w:t xml:space="preserve">Estimate revisions have been essentially flat since last earnings (Q2 consensus moved from ~$2.35 to ~$2.35), suggesting the street is not pricing in a meaningful beat or miss, which leaves the stock relatively neutral into the print. </w:t>
      </w:r>
      <w:r>
        <w:rPr>
          <w:rFonts w:ascii="Calibri" w:hAnsi="Calibri"/>
          <w:color w:val="525866"/>
          <w:sz w:val="22"/>
        </w:rPr>
        <w:t xml:space="preserve">The stock has rallied ~35% over the past 12 months and ~13% over the past 3 months, with multiple expansion accounting for a meaningful portion of the move — at ~10.75x NTM P/E, valuation is no longer cheap, which raises the bar for a positive reaction. </w:t>
      </w:r>
      <w:r>
        <w:rPr>
          <w:rFonts w:ascii="Calibri" w:hAnsi="Calibri"/>
          <w:color w:val="525866"/>
          <w:sz w:val="22"/>
        </w:rPr>
        <w:t>The key wildcard is Investment Management net cash flows: Q1 came in at -$2.9B (actual), driven by redemptions in a small number of U.S. active equity mutual funds; management guided for normalization through the year, and the July 20 AUM pre-release showing $808B (up ~6.4% from beginning of period) suggests market tailwinds were strong — but whether net flows actually turned less negative will be the most-watched data point on the call.</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reasonable but not low bar — Core EPS of ~$2.35 implies solid YoY growth, while the Specialty Benefits loss ratio is expected to tick up seasonally from Q1's exceptional 58.5%. </w:t>
      </w:r>
      <w:r>
        <w:rPr>
          <w:rFonts w:ascii="Calibri" w:hAnsi="Calibri"/>
          <w:color w:val="525866"/>
          <w:sz w:val="22"/>
        </w:rPr>
        <w:t>Investment Management net cash flows remain the bigger swing factor: any improvement toward consensus expectations of ~-$5.5B (full year) would be a positive signal, while a continued deep negative print would disappoint.</w:t>
      </w:r>
    </w:p>
    <w:p>
      <w:pPr>
        <w:pStyle w:val="Heading3"/>
      </w:pPr>
      <w:r>
        <w:rPr>
          <w:rFonts w:ascii="Calibri" w:hAnsi="Calibri"/>
          <w:b/>
          <w:color w:val="3B4259"/>
          <w:sz w:val="24"/>
        </w:rPr>
        <w:t>Table 1 — Current Quarter Snapshot (2Q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(1Q 2026)</w:t>
            </w:r>
          </w:p>
        </w:tc>
        <w:tc>
          <w:tcPr>
            <w:tcW w:type="dxa" w:w="1234"/>
            <w:shd w:val="clear" w:color="auto" w:fill="3B4259"/>
          </w:tcPr>
          <w:p>
            <w:r>
              <w:rPr>
                <w:rFonts w:ascii="Calibri" w:hAnsi="Calibri"/>
                <w:b/>
                <w:color w:val="FFFFFF"/>
                <w:sz w:val="22"/>
              </w:rPr>
              <w:t>Prior Year Period (2Q 2025)</w:t>
            </w:r>
          </w:p>
        </w:tc>
        <w:tc>
          <w:tcPr>
            <w:tcW w:type="dxa" w:w="1234"/>
            <w:shd w:val="clear" w:color="auto" w:fill="3B4259"/>
          </w:tcPr>
          <w:p>
            <w:r>
              <w:rPr>
                <w:rFonts w:ascii="Calibri" w:hAnsi="Calibri"/>
                <w:b/>
                <w:color w:val="FFFFFF"/>
                <w:sz w:val="22"/>
              </w:rPr>
              <w:t>2Q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(from 1Q26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Core EPS — Diluted ($)</w:t>
            </w:r>
          </w:p>
        </w:tc>
        <w:tc>
          <w:tcPr>
            <w:tcW w:type="dxa" w:w="1234"/>
          </w:tcPr>
          <w:p>
            <w:r>
              <w:rPr>
                <w:rFonts w:ascii="Calibri" w:hAnsi="Calibri"/>
                <w:sz w:val="22"/>
              </w:rPr>
              <w:t>$2.17 (ex-sig. variances)</w:t>
            </w:r>
          </w:p>
        </w:tc>
        <w:tc>
          <w:tcPr>
            <w:tcW w:type="dxa" w:w="1234"/>
          </w:tcPr>
          <w:p>
            <w:r>
              <w:rPr>
                <w:rFonts w:ascii="Calibri" w:hAnsi="Calibri"/>
                <w:sz w:val="22"/>
              </w:rPr>
              <w:t>$2.07</w:t>
            </w:r>
          </w:p>
        </w:tc>
        <w:tc>
          <w:tcPr>
            <w:tcW w:type="dxa" w:w="1234"/>
          </w:tcPr>
          <w:p>
            <w:r>
              <w:rPr>
                <w:rFonts w:ascii="Calibri" w:hAnsi="Calibri"/>
                <w:sz w:val="22"/>
              </w:rPr>
              <w:t>$2.35</w:t>
            </w:r>
          </w:p>
        </w:tc>
        <w:tc>
          <w:tcPr>
            <w:tcW w:type="dxa" w:w="1234"/>
          </w:tcPr>
          <w:p>
            <w:r>
              <w:rPr>
                <w:rFonts w:ascii="Calibri" w:hAnsi="Calibri"/>
                <w:sz w:val="22"/>
              </w:rPr>
              <w:t>+13.5% YoY</w:t>
            </w:r>
          </w:p>
        </w:tc>
        <w:tc>
          <w:tcPr>
            <w:tcW w:type="dxa" w:w="1234"/>
          </w:tcPr>
          <w:p>
            <w:r>
              <w:rPr>
                <w:rFonts w:ascii="Calibri" w:hAnsi="Calibri"/>
                <w:sz w:val="22"/>
              </w:rPr>
              <w:t>Confident in 2026 targets; no specific Q2 EPS guide</w:t>
            </w:r>
          </w:p>
        </w:tc>
        <w:tc>
          <w:tcPr>
            <w:tcW w:type="dxa" w:w="1234"/>
          </w:tcPr>
          <w:p>
            <w:r>
              <w:rPr>
                <w:rFonts w:ascii="Calibri" w:hAnsi="Calibri"/>
                <w:sz w:val="22"/>
              </w:rPr>
              <w:t>N/A (no specific guidance)</w:t>
            </w:r>
          </w:p>
        </w:tc>
      </w:tr>
      <w:tr>
        <w:tc>
          <w:tcPr>
            <w:tcW w:type="dxa" w:w="1234"/>
          </w:tcPr>
          <w:p>
            <w:r>
              <w:rPr>
                <w:rFonts w:ascii="Calibri" w:hAnsi="Calibri"/>
                <w:sz w:val="22"/>
              </w:rPr>
              <w:t>Incurred Loss Ratio — Specialty Benefits (%)</w:t>
            </w:r>
          </w:p>
        </w:tc>
        <w:tc>
          <w:tcPr>
            <w:tcW w:type="dxa" w:w="1234"/>
          </w:tcPr>
          <w:p>
            <w:r>
              <w:rPr>
                <w:rFonts w:ascii="Calibri" w:hAnsi="Calibri"/>
                <w:sz w:val="22"/>
              </w:rPr>
              <w:t>58.5%</w:t>
            </w:r>
          </w:p>
        </w:tc>
        <w:tc>
          <w:tcPr>
            <w:tcW w:type="dxa" w:w="1234"/>
          </w:tcPr>
          <w:p>
            <w:r>
              <w:rPr>
                <w:rFonts w:ascii="Calibri" w:hAnsi="Calibri"/>
                <w:sz w:val="22"/>
              </w:rPr>
              <w:t>60.2%</w:t>
            </w:r>
          </w:p>
        </w:tc>
        <w:tc>
          <w:tcPr>
            <w:tcW w:type="dxa" w:w="1234"/>
          </w:tcPr>
          <w:p>
            <w:r>
              <w:rPr>
                <w:rFonts w:ascii="Calibri" w:hAnsi="Calibri"/>
                <w:sz w:val="22"/>
              </w:rPr>
              <w:t>~60.4%</w:t>
            </w:r>
          </w:p>
        </w:tc>
        <w:tc>
          <w:tcPr>
            <w:tcW w:type="dxa" w:w="1234"/>
          </w:tcPr>
          <w:p>
            <w:r>
              <w:rPr>
                <w:rFonts w:ascii="Calibri" w:hAnsi="Calibri"/>
                <w:sz w:val="22"/>
              </w:rPr>
              <w:t>-180 bps YoY</w:t>
            </w:r>
          </w:p>
        </w:tc>
        <w:tc>
          <w:tcPr>
            <w:tcW w:type="dxa" w:w="1234"/>
          </w:tcPr>
          <w:p>
            <w:r>
              <w:rPr>
                <w:rFonts w:ascii="Calibri" w:hAnsi="Calibri"/>
                <w:sz w:val="22"/>
              </w:rPr>
              <w:t>"Rise a bit" in Q2 (dental seasonality); full year at low end or below target range</w:t>
            </w:r>
          </w:p>
        </w:tc>
        <w:tc>
          <w:tcPr>
            <w:tcW w:type="dxa" w:w="1234"/>
          </w:tcPr>
          <w:p>
            <w:r>
              <w:rPr>
                <w:rFonts w:ascii="Calibri" w:hAnsi="Calibri"/>
                <w:sz w:val="22"/>
              </w:rPr>
              <w:t>~+190 bps vs. Q1 actual; in line with guidance</w:t>
            </w:r>
          </w:p>
        </w:tc>
      </w:tr>
      <w:tr>
        <w:tc>
          <w:tcPr>
            <w:tcW w:type="dxa" w:w="1234"/>
          </w:tcPr>
          <w:p>
            <w:r>
              <w:rPr>
                <w:rFonts w:ascii="Calibri" w:hAnsi="Calibri"/>
                <w:sz w:val="22"/>
              </w:rPr>
              <w:t>Net Cash Flows — Investment Management ($M)</w:t>
            </w:r>
          </w:p>
        </w:tc>
        <w:tc>
          <w:tcPr>
            <w:tcW w:type="dxa" w:w="1234"/>
          </w:tcPr>
          <w:p>
            <w:r>
              <w:rPr>
                <w:rFonts w:ascii="Calibri" w:hAnsi="Calibri"/>
                <w:sz w:val="22"/>
              </w:rPr>
              <w:t>-$2,900M</w:t>
            </w:r>
          </w:p>
        </w:tc>
        <w:tc>
          <w:tcPr>
            <w:tcW w:type="dxa" w:w="1234"/>
          </w:tcPr>
          <w:p>
            <w:r>
              <w:rPr>
                <w:rFonts w:ascii="Calibri" w:hAnsi="Calibri"/>
                <w:sz w:val="22"/>
              </w:rPr>
              <w:t>-$1,900M</w:t>
            </w:r>
          </w:p>
        </w:tc>
        <w:tc>
          <w:tcPr>
            <w:tcW w:type="dxa" w:w="1234"/>
          </w:tcPr>
          <w:p>
            <w:r>
              <w:rPr>
                <w:rFonts w:ascii="Calibri" w:hAnsi="Calibri"/>
                <w:sz w:val="22"/>
              </w:rPr>
              <w:t>~-$5,492M (consensus)</w:t>
            </w:r>
          </w:p>
        </w:tc>
        <w:tc>
          <w:tcPr>
            <w:tcW w:type="dxa" w:w="1234"/>
          </w:tcPr>
          <w:p>
            <w:r>
              <w:rPr>
                <w:rFonts w:ascii="Calibri" w:hAnsi="Calibri"/>
                <w:sz w:val="22"/>
              </w:rPr>
              <w:t>Worse YoY</w:t>
            </w:r>
          </w:p>
        </w:tc>
        <w:tc>
          <w:tcPr>
            <w:tcW w:type="dxa" w:w="1234"/>
          </w:tcPr>
          <w:p>
            <w:r>
              <w:rPr>
                <w:rFonts w:ascii="Calibri" w:hAnsi="Calibri"/>
                <w:sz w:val="22"/>
              </w:rPr>
              <w:t>Expects NCF profile to improve for balance of year as redemptions normalize</w:t>
            </w:r>
          </w:p>
        </w:tc>
        <w:tc>
          <w:tcPr>
            <w:tcW w:type="dxa" w:w="1234"/>
          </w:tcPr>
          <w:p>
            <w:r>
              <w:rPr>
                <w:rFonts w:ascii="Calibri" w:hAnsi="Calibri"/>
                <w:sz w:val="22"/>
              </w:rPr>
              <w:t>Consensus implies continued negative; improvement vs. Q1 would be upside</w:t>
            </w:r>
          </w:p>
        </w:tc>
      </w:tr>
      <w:tr>
        <w:tc>
          <w:tcPr>
            <w:tcW w:type="dxa" w:w="1234"/>
          </w:tcPr>
          <w:p>
            <w:r>
              <w:rPr>
                <w:rFonts w:ascii="Calibri" w:hAnsi="Calibri"/>
                <w:sz w:val="22"/>
              </w:rPr>
              <w:t>Return on Equity (%)</w:t>
            </w:r>
          </w:p>
        </w:tc>
        <w:tc>
          <w:tcPr>
            <w:tcW w:type="dxa" w:w="1234"/>
          </w:tcPr>
          <w:p>
            <w:r>
              <w:rPr>
                <w:rFonts w:ascii="Calibri" w:hAnsi="Calibri"/>
                <w:sz w:val="22"/>
              </w:rPr>
              <w:t>16.1% (non-GAAP operating)</w:t>
            </w:r>
          </w:p>
        </w:tc>
        <w:tc>
          <w:tcPr>
            <w:tcW w:type="dxa" w:w="1234"/>
          </w:tcPr>
          <w:p>
            <w:r>
              <w:rPr>
                <w:rFonts w:ascii="Calibri" w:hAnsi="Calibri"/>
                <w:sz w:val="22"/>
              </w:rPr>
              <w:t>14.1%</w:t>
            </w:r>
          </w:p>
        </w:tc>
        <w:tc>
          <w:tcPr>
            <w:tcW w:type="dxa" w:w="1234"/>
          </w:tcPr>
          <w:p>
            <w:r>
              <w:rPr>
                <w:rFonts w:ascii="Calibri" w:hAnsi="Calibri"/>
                <w:sz w:val="22"/>
              </w:rPr>
              <w:t>~14.1%</w:t>
            </w:r>
          </w:p>
        </w:tc>
        <w:tc>
          <w:tcPr>
            <w:tcW w:type="dxa" w:w="1234"/>
          </w:tcPr>
          <w:p>
            <w:r>
              <w:rPr>
                <w:rFonts w:ascii="Calibri" w:hAnsi="Calibri"/>
                <w:sz w:val="22"/>
              </w:rPr>
              <w:t>Flat YoY</w:t>
            </w:r>
          </w:p>
        </w:tc>
        <w:tc>
          <w:tcPr>
            <w:tcW w:type="dxa" w:w="1234"/>
          </w:tcPr>
          <w:p>
            <w:r>
              <w:rPr>
                <w:rFonts w:ascii="Calibri" w:hAnsi="Calibri"/>
                <w:sz w:val="22"/>
              </w:rPr>
              <w:t>Target range 15–17%</w:t>
            </w:r>
          </w:p>
        </w:tc>
        <w:tc>
          <w:tcPr>
            <w:tcW w:type="dxa" w:w="1234"/>
          </w:tcPr>
          <w:p>
            <w:r>
              <w:rPr>
                <w:rFonts w:ascii="Calibri" w:hAnsi="Calibri"/>
                <w:sz w:val="22"/>
              </w:rPr>
              <w:t>Consensus within target range</w:t>
            </w:r>
          </w:p>
        </w:tc>
      </w:tr>
      <w:tr>
        <w:tc>
          <w:tcPr>
            <w:tcW w:type="dxa" w:w="1234"/>
          </w:tcPr>
          <w:p>
            <w:r>
              <w:rPr>
                <w:rFonts w:ascii="Calibri" w:hAnsi="Calibri"/>
                <w:sz w:val="22"/>
              </w:rPr>
              <w:t>Total Revenues — Operating ($B)</w:t>
            </w:r>
          </w:p>
        </w:tc>
        <w:tc>
          <w:tcPr>
            <w:tcW w:type="dxa" w:w="1234"/>
          </w:tcPr>
          <w:p>
            <w:r>
              <w:rPr>
                <w:rFonts w:ascii="Calibri" w:hAnsi="Calibri"/>
                <w:sz w:val="22"/>
              </w:rPr>
              <w:t>$3.52B</w:t>
            </w:r>
          </w:p>
        </w:tc>
        <w:tc>
          <w:tcPr>
            <w:tcW w:type="dxa" w:w="1234"/>
          </w:tcPr>
          <w:p>
            <w:r>
              <w:rPr>
                <w:rFonts w:ascii="Calibri" w:hAnsi="Calibri"/>
                <w:sz w:val="22"/>
              </w:rPr>
              <w:t>$3.69B</w:t>
            </w:r>
          </w:p>
        </w:tc>
        <w:tc>
          <w:tcPr>
            <w:tcW w:type="dxa" w:w="1234"/>
          </w:tcPr>
          <w:p>
            <w:r>
              <w:rPr>
                <w:rFonts w:ascii="Calibri" w:hAnsi="Calibri"/>
                <w:sz w:val="22"/>
              </w:rPr>
              <w:t>~$4.02B</w:t>
            </w:r>
          </w:p>
        </w:tc>
        <w:tc>
          <w:tcPr>
            <w:tcW w:type="dxa" w:w="1234"/>
          </w:tcPr>
          <w:p>
            <w:r>
              <w:rPr>
                <w:rFonts w:ascii="Calibri" w:hAnsi="Calibri"/>
                <w:sz w:val="22"/>
              </w:rPr>
              <w:t>+8.9% YoY</w:t>
            </w:r>
          </w:p>
        </w:tc>
        <w:tc>
          <w:tcPr>
            <w:tcW w:type="dxa" w:w="1234"/>
          </w:tcPr>
          <w:p>
            <w:r>
              <w:rPr>
                <w:rFonts w:ascii="Calibri" w:hAnsi="Calibri"/>
                <w:sz w:val="22"/>
              </w:rPr>
              <w:t>No specific revenue guidance</w:t>
            </w:r>
          </w:p>
        </w:tc>
        <w:tc>
          <w:tcPr>
            <w:tcW w:type="dxa" w:w="1234"/>
          </w:tcPr>
          <w:p>
            <w:r>
              <w:rPr>
                <w:rFonts w:ascii="Calibri" w:hAnsi="Calibri"/>
                <w:sz w:val="22"/>
              </w:rPr>
              <w:t>N/A</w:t>
            </w:r>
          </w:p>
        </w:tc>
      </w:tr>
      <w:tr>
        <w:tc>
          <w:tcPr>
            <w:tcW w:type="dxa" w:w="1234"/>
          </w:tcPr>
          <w:p>
            <w:r>
              <w:rPr>
                <w:rFonts w:ascii="Calibri" w:hAnsi="Calibri"/>
                <w:sz w:val="22"/>
              </w:rPr>
              <w:t>RIS Pre-Tax Operating Earnings ($M)</w:t>
            </w:r>
          </w:p>
        </w:tc>
        <w:tc>
          <w:tcPr>
            <w:tcW w:type="dxa" w:w="1234"/>
          </w:tcPr>
          <w:p>
            <w:r>
              <w:rPr>
                <w:rFonts w:ascii="Calibri" w:hAnsi="Calibri"/>
                <w:sz w:val="22"/>
              </w:rPr>
              <w:t>$318M</w:t>
            </w:r>
          </w:p>
        </w:tc>
        <w:tc>
          <w:tcPr>
            <w:tcW w:type="dxa" w:w="1234"/>
          </w:tcPr>
          <w:p>
            <w:r>
              <w:rPr>
                <w:rFonts w:ascii="Calibri" w:hAnsi="Calibri"/>
                <w:sz w:val="22"/>
              </w:rPr>
              <w:t>$296M</w:t>
            </w:r>
          </w:p>
        </w:tc>
        <w:tc>
          <w:tcPr>
            <w:tcW w:type="dxa" w:w="1234"/>
          </w:tcPr>
          <w:p>
            <w:r>
              <w:rPr>
                <w:rFonts w:ascii="Calibri" w:hAnsi="Calibri"/>
                <w:sz w:val="22"/>
              </w:rPr>
              <w:t>~$318M</w:t>
            </w:r>
          </w:p>
        </w:tc>
        <w:tc>
          <w:tcPr>
            <w:tcW w:type="dxa" w:w="1234"/>
          </w:tcPr>
          <w:p>
            <w:r>
              <w:rPr>
                <w:rFonts w:ascii="Calibri" w:hAnsi="Calibri"/>
                <w:sz w:val="22"/>
              </w:rPr>
              <w:t>+7.4% YoY</w:t>
            </w:r>
          </w:p>
        </w:tc>
        <w:tc>
          <w:tcPr>
            <w:tcW w:type="dxa" w:w="1234"/>
          </w:tcPr>
          <w:p>
            <w:r>
              <w:rPr>
                <w:rFonts w:ascii="Calibri" w:hAnsi="Calibri"/>
                <w:sz w:val="22"/>
              </w:rPr>
              <w:t>Q1 strongest for transfer deposits; Q2 expected lighter on large case lumpiness</w:t>
            </w:r>
          </w:p>
        </w:tc>
        <w:tc>
          <w:tcPr>
            <w:tcW w:type="dxa" w:w="1234"/>
          </w:tcPr>
          <w:p>
            <w:r>
              <w:rPr>
                <w:rFonts w:ascii="Calibri" w:hAnsi="Calibri"/>
                <w:sz w:val="22"/>
              </w:rPr>
              <w:t>Consensus roughly in line with Q1 run rate</w:t>
            </w:r>
          </w:p>
        </w:tc>
      </w:tr>
    </w:tbl>
    <w:p>
      <w:r>
        <w:rPr>
          <w:rFonts w:ascii="Calibri" w:hAnsi="Calibri"/>
          <w:i/>
          <w:color w:val="525866"/>
          <w:sz w:val="22"/>
        </w:rPr>
        <w:t>Sources: Visible Alpha consensus and actuals data for Core EPS, Net Cash Flows — Investment Management, Incurred Loss Ratio, Return on Equity, Total Revenues — Operating, and RIS Pre-Tax Operating Earnings. Q1 2026 actuals sourced from PFG Q1 2026 Earnings Release (April 23, 2026) and Q1 2026 Earnings Call transcript (April 24, 2026). Guidance from Q1 2026 Earnings Call transcript.</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KPI 1: Core EPS — Diluted (ex-significant variances where applicable)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1Q 2026</w:t>
            </w:r>
          </w:p>
        </w:tc>
        <w:tc>
          <w:tcPr>
            <w:tcW w:type="dxa" w:w="1728"/>
          </w:tcPr>
          <w:p>
            <w:r>
              <w:rPr>
                <w:rFonts w:ascii="Calibri" w:hAnsi="Calibri"/>
                <w:sz w:val="22"/>
              </w:rPr>
              <w:t>$2.17 (ex-var.)</w:t>
            </w:r>
          </w:p>
        </w:tc>
        <w:tc>
          <w:tcPr>
            <w:tcW w:type="dxa" w:w="1728"/>
          </w:tcPr>
          <w:p>
            <w:r>
              <w:rPr>
                <w:rFonts w:ascii="Calibri" w:hAnsi="Calibri"/>
                <w:sz w:val="22"/>
              </w:rPr>
              <w:t>$2.05</w:t>
            </w:r>
          </w:p>
        </w:tc>
        <w:tc>
          <w:tcPr>
            <w:tcW w:type="dxa" w:w="1728"/>
          </w:tcPr>
          <w:p>
            <w:r>
              <w:rPr>
                <w:rFonts w:ascii="Calibri" w:hAnsi="Calibri"/>
                <w:sz w:val="22"/>
              </w:rPr>
              <w:t>+5.9%</w:t>
            </w:r>
          </w:p>
        </w:tc>
        <w:tc>
          <w:tcPr>
            <w:tcW w:type="dxa" w:w="1728"/>
          </w:tcPr>
          <w:p>
            <w:r>
              <w:rPr>
                <w:rFonts w:ascii="Calibri" w:hAnsi="Calibri"/>
                <w:b/>
                <w:color w:val="30A46C"/>
                <w:sz w:val="22"/>
              </w:rPr>
              <w:t>Beat</w:t>
            </w:r>
          </w:p>
        </w:tc>
      </w:tr>
      <w:tr>
        <w:tc>
          <w:tcPr>
            <w:tcW w:type="dxa" w:w="1728"/>
          </w:tcPr>
          <w:p>
            <w:r>
              <w:rPr>
                <w:rFonts w:ascii="Calibri" w:hAnsi="Calibri"/>
                <w:sz w:val="22"/>
              </w:rPr>
              <w:t>4Q 2025</w:t>
            </w:r>
          </w:p>
        </w:tc>
        <w:tc>
          <w:tcPr>
            <w:tcW w:type="dxa" w:w="1728"/>
          </w:tcPr>
          <w:p>
            <w:r>
              <w:rPr>
                <w:rFonts w:ascii="Calibri" w:hAnsi="Calibri"/>
                <w:sz w:val="22"/>
              </w:rPr>
              <w:t>$2.24</w:t>
            </w:r>
          </w:p>
        </w:tc>
        <w:tc>
          <w:tcPr>
            <w:tcW w:type="dxa" w:w="1728"/>
          </w:tcPr>
          <w:p>
            <w:r>
              <w:rPr>
                <w:rFonts w:ascii="Calibri" w:hAnsi="Calibri"/>
                <w:sz w:val="22"/>
              </w:rPr>
              <w:t>$2.25</w:t>
            </w:r>
          </w:p>
        </w:tc>
        <w:tc>
          <w:tcPr>
            <w:tcW w:type="dxa" w:w="1728"/>
          </w:tcPr>
          <w:p>
            <w:r>
              <w:rPr>
                <w:rFonts w:ascii="Calibri" w:hAnsi="Calibri"/>
                <w:sz w:val="22"/>
              </w:rPr>
              <w:t>-0.4%</w:t>
            </w:r>
          </w:p>
        </w:tc>
        <w:tc>
          <w:tcPr>
            <w:tcW w:type="dxa" w:w="1728"/>
          </w:tcPr>
          <w:p>
            <w:r>
              <w:rPr>
                <w:rFonts w:ascii="Calibri" w:hAnsi="Calibri"/>
                <w:sz w:val="22"/>
              </w:rPr>
              <w:t>In Line</w:t>
            </w:r>
          </w:p>
        </w:tc>
      </w:tr>
      <w:tr>
        <w:tc>
          <w:tcPr>
            <w:tcW w:type="dxa" w:w="1728"/>
          </w:tcPr>
          <w:p>
            <w:r>
              <w:rPr>
                <w:rFonts w:ascii="Calibri" w:hAnsi="Calibri"/>
                <w:sz w:val="22"/>
              </w:rPr>
              <w:t>3Q 2025</w:t>
            </w:r>
          </w:p>
        </w:tc>
        <w:tc>
          <w:tcPr>
            <w:tcW w:type="dxa" w:w="1728"/>
          </w:tcPr>
          <w:p>
            <w:r>
              <w:rPr>
                <w:rFonts w:ascii="Calibri" w:hAnsi="Calibri"/>
                <w:sz w:val="22"/>
              </w:rPr>
              <w:t>$2.32</w:t>
            </w:r>
          </w:p>
        </w:tc>
        <w:tc>
          <w:tcPr>
            <w:tcW w:type="dxa" w:w="1728"/>
          </w:tcPr>
          <w:p>
            <w:r>
              <w:rPr>
                <w:rFonts w:ascii="Calibri" w:hAnsi="Calibri"/>
                <w:sz w:val="22"/>
              </w:rPr>
              <w:t>$2.20</w:t>
            </w:r>
          </w:p>
        </w:tc>
        <w:tc>
          <w:tcPr>
            <w:tcW w:type="dxa" w:w="1728"/>
          </w:tcPr>
          <w:p>
            <w:r>
              <w:rPr>
                <w:rFonts w:ascii="Calibri" w:hAnsi="Calibri"/>
                <w:sz w:val="22"/>
              </w:rPr>
              <w:t>+5.5%</w:t>
            </w:r>
          </w:p>
        </w:tc>
        <w:tc>
          <w:tcPr>
            <w:tcW w:type="dxa" w:w="1728"/>
          </w:tcPr>
          <w:p>
            <w:r>
              <w:rPr>
                <w:rFonts w:ascii="Calibri" w:hAnsi="Calibri"/>
                <w:b/>
                <w:color w:val="30A46C"/>
                <w:sz w:val="22"/>
              </w:rPr>
              <w:t>Beat</w:t>
            </w:r>
          </w:p>
        </w:tc>
      </w:tr>
      <w:tr>
        <w:tc>
          <w:tcPr>
            <w:tcW w:type="dxa" w:w="1728"/>
          </w:tcPr>
          <w:p>
            <w:r>
              <w:rPr>
                <w:rFonts w:ascii="Calibri" w:hAnsi="Calibri"/>
                <w:sz w:val="22"/>
              </w:rPr>
              <w:t>2Q 2025</w:t>
            </w:r>
          </w:p>
        </w:tc>
        <w:tc>
          <w:tcPr>
            <w:tcW w:type="dxa" w:w="1728"/>
          </w:tcPr>
          <w:p>
            <w:r>
              <w:rPr>
                <w:rFonts w:ascii="Calibri" w:hAnsi="Calibri"/>
                <w:sz w:val="22"/>
              </w:rPr>
              <w:t>$2.07</w:t>
            </w:r>
          </w:p>
        </w:tc>
        <w:tc>
          <w:tcPr>
            <w:tcW w:type="dxa" w:w="1728"/>
          </w:tcPr>
          <w:p>
            <w:r>
              <w:rPr>
                <w:rFonts w:ascii="Calibri" w:hAnsi="Calibri"/>
                <w:sz w:val="22"/>
              </w:rPr>
              <w:t>$2.04</w:t>
            </w:r>
          </w:p>
        </w:tc>
        <w:tc>
          <w:tcPr>
            <w:tcW w:type="dxa" w:w="1728"/>
          </w:tcPr>
          <w:p>
            <w:r>
              <w:rPr>
                <w:rFonts w:ascii="Calibri" w:hAnsi="Calibri"/>
                <w:sz w:val="22"/>
              </w:rPr>
              <w:t>+1.5%</w:t>
            </w:r>
          </w:p>
        </w:tc>
        <w:tc>
          <w:tcPr>
            <w:tcW w:type="dxa" w:w="1728"/>
          </w:tcPr>
          <w:p>
            <w:r>
              <w:rPr>
                <w:rFonts w:ascii="Calibri" w:hAnsi="Calibri"/>
                <w:b/>
                <w:color w:val="30A46C"/>
                <w:sz w:val="22"/>
              </w:rPr>
              <w:t>Slight Beat</w:t>
            </w:r>
          </w:p>
        </w:tc>
      </w:tr>
      <w:tr>
        <w:tc>
          <w:tcPr>
            <w:tcW w:type="dxa" w:w="1728"/>
          </w:tcPr>
          <w:p>
            <w:r>
              <w:rPr>
                <w:rFonts w:ascii="Calibri" w:hAnsi="Calibri"/>
                <w:sz w:val="22"/>
              </w:rPr>
              <w:t>1Q 2025</w:t>
            </w:r>
          </w:p>
        </w:tc>
        <w:tc>
          <w:tcPr>
            <w:tcW w:type="dxa" w:w="1728"/>
          </w:tcPr>
          <w:p>
            <w:r>
              <w:rPr>
                <w:rFonts w:ascii="Calibri" w:hAnsi="Calibri"/>
                <w:sz w:val="22"/>
              </w:rPr>
              <w:t>$1.92</w:t>
            </w:r>
          </w:p>
        </w:tc>
        <w:tc>
          <w:tcPr>
            <w:tcW w:type="dxa" w:w="1728"/>
          </w:tcPr>
          <w:p>
            <w:r>
              <w:rPr>
                <w:rFonts w:ascii="Calibri" w:hAnsi="Calibri"/>
                <w:sz w:val="22"/>
              </w:rPr>
              <w:t>$1.88</w:t>
            </w:r>
          </w:p>
        </w:tc>
        <w:tc>
          <w:tcPr>
            <w:tcW w:type="dxa" w:w="1728"/>
          </w:tcPr>
          <w:p>
            <w:r>
              <w:rPr>
                <w:rFonts w:ascii="Calibri" w:hAnsi="Calibri"/>
                <w:sz w:val="22"/>
              </w:rPr>
              <w:t>+2.1%</w:t>
            </w:r>
          </w:p>
        </w:tc>
        <w:tc>
          <w:tcPr>
            <w:tcW w:type="dxa" w:w="1728"/>
          </w:tcPr>
          <w:p>
            <w:r>
              <w:rPr>
                <w:rFonts w:ascii="Calibri" w:hAnsi="Calibri"/>
                <w:b/>
                <w:color w:val="30A46C"/>
                <w:sz w:val="22"/>
              </w:rPr>
              <w:t>Beat</w:t>
            </w:r>
          </w:p>
        </w:tc>
      </w:tr>
      <w:tr>
        <w:tc>
          <w:tcPr>
            <w:tcW w:type="dxa" w:w="1728"/>
          </w:tcPr>
          <w:p>
            <w:r>
              <w:rPr>
                <w:rFonts w:ascii="Calibri" w:hAnsi="Calibri"/>
                <w:sz w:val="22"/>
              </w:rPr>
              <w:t>4Q 2024</w:t>
            </w:r>
          </w:p>
        </w:tc>
        <w:tc>
          <w:tcPr>
            <w:tcW w:type="dxa" w:w="1728"/>
          </w:tcPr>
          <w:p>
            <w:r>
              <w:rPr>
                <w:rFonts w:ascii="Calibri" w:hAnsi="Calibri"/>
                <w:sz w:val="22"/>
              </w:rPr>
              <w:t>$2.10</w:t>
            </w:r>
          </w:p>
        </w:tc>
        <w:tc>
          <w:tcPr>
            <w:tcW w:type="dxa" w:w="1728"/>
          </w:tcPr>
          <w:p>
            <w:r>
              <w:rPr>
                <w:rFonts w:ascii="Calibri" w:hAnsi="Calibri"/>
                <w:sz w:val="22"/>
              </w:rPr>
              <w:t>$2.04</w:t>
            </w:r>
          </w:p>
        </w:tc>
        <w:tc>
          <w:tcPr>
            <w:tcW w:type="dxa" w:w="1728"/>
          </w:tcPr>
          <w:p>
            <w:r>
              <w:rPr>
                <w:rFonts w:ascii="Calibri" w:hAnsi="Calibri"/>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3Q 2024</w:t>
            </w:r>
          </w:p>
        </w:tc>
        <w:tc>
          <w:tcPr>
            <w:tcW w:type="dxa" w:w="1728"/>
          </w:tcPr>
          <w:p>
            <w:r>
              <w:rPr>
                <w:rFonts w:ascii="Calibri" w:hAnsi="Calibri"/>
                <w:sz w:val="22"/>
              </w:rPr>
              <w:t>$2.05</w:t>
            </w:r>
          </w:p>
        </w:tc>
        <w:tc>
          <w:tcPr>
            <w:tcW w:type="dxa" w:w="1728"/>
          </w:tcPr>
          <w:p>
            <w:r>
              <w:rPr>
                <w:rFonts w:ascii="Calibri" w:hAnsi="Calibri"/>
                <w:sz w:val="22"/>
              </w:rPr>
              <w:t>$2.02</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2Q 2024</w:t>
            </w:r>
          </w:p>
        </w:tc>
        <w:tc>
          <w:tcPr>
            <w:tcW w:type="dxa" w:w="1728"/>
          </w:tcPr>
          <w:p>
            <w:r>
              <w:rPr>
                <w:rFonts w:ascii="Calibri" w:hAnsi="Calibri"/>
                <w:sz w:val="22"/>
              </w:rPr>
              <w:t>$1.92</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KPI 2: Incurred Loss Ratio — Specialty Benefits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1Q 2026</w:t>
            </w:r>
          </w:p>
        </w:tc>
        <w:tc>
          <w:tcPr>
            <w:tcW w:type="dxa" w:w="1728"/>
          </w:tcPr>
          <w:p>
            <w:r>
              <w:rPr>
                <w:rFonts w:ascii="Calibri" w:hAnsi="Calibri"/>
                <w:sz w:val="22"/>
              </w:rPr>
              <w:t>58.5%</w:t>
            </w:r>
          </w:p>
        </w:tc>
        <w:tc>
          <w:tcPr>
            <w:tcW w:type="dxa" w:w="1728"/>
          </w:tcPr>
          <w:p>
            <w:r>
              <w:rPr>
                <w:rFonts w:ascii="Calibri" w:hAnsi="Calibri"/>
                <w:sz w:val="22"/>
              </w:rPr>
              <w:t>61.4%</w:t>
            </w:r>
          </w:p>
        </w:tc>
        <w:tc>
          <w:tcPr>
            <w:tcW w:type="dxa" w:w="1728"/>
          </w:tcPr>
          <w:p>
            <w:r>
              <w:rPr>
                <w:rFonts w:ascii="Calibri" w:hAnsi="Calibri"/>
                <w:sz w:val="22"/>
              </w:rPr>
              <w:t>-290 bps</w:t>
            </w:r>
          </w:p>
        </w:tc>
        <w:tc>
          <w:tcPr>
            <w:tcW w:type="dxa" w:w="1728"/>
          </w:tcPr>
          <w:p>
            <w:r>
              <w:rPr>
                <w:rFonts w:ascii="Calibri" w:hAnsi="Calibri"/>
                <w:b/>
                <w:color w:val="30A46C"/>
                <w:sz w:val="22"/>
              </w:rPr>
              <w:t>Beat (lower is better)</w:t>
            </w:r>
          </w:p>
        </w:tc>
      </w:tr>
      <w:tr>
        <w:tc>
          <w:tcPr>
            <w:tcW w:type="dxa" w:w="1728"/>
          </w:tcPr>
          <w:p>
            <w:r>
              <w:rPr>
                <w:rFonts w:ascii="Calibri" w:hAnsi="Calibri"/>
                <w:sz w:val="22"/>
              </w:rPr>
              <w:t>4Q 2025</w:t>
            </w:r>
          </w:p>
        </w:tc>
        <w:tc>
          <w:tcPr>
            <w:tcW w:type="dxa" w:w="1728"/>
          </w:tcPr>
          <w:p>
            <w:r>
              <w:rPr>
                <w:rFonts w:ascii="Calibri" w:hAnsi="Calibri"/>
                <w:sz w:val="22"/>
              </w:rPr>
              <w:t>57.6%</w:t>
            </w:r>
          </w:p>
        </w:tc>
        <w:tc>
          <w:tcPr>
            <w:tcW w:type="dxa" w:w="1728"/>
          </w:tcPr>
          <w:p>
            <w:r>
              <w:rPr>
                <w:rFonts w:ascii="Calibri" w:hAnsi="Calibri"/>
                <w:sz w:val="22"/>
              </w:rPr>
              <w:t>59.3%</w:t>
            </w:r>
          </w:p>
        </w:tc>
        <w:tc>
          <w:tcPr>
            <w:tcW w:type="dxa" w:w="1728"/>
          </w:tcPr>
          <w:p>
            <w:r>
              <w:rPr>
                <w:rFonts w:ascii="Calibri" w:hAnsi="Calibri"/>
                <w:sz w:val="22"/>
              </w:rPr>
              <w:t>-170 bps</w:t>
            </w:r>
          </w:p>
        </w:tc>
        <w:tc>
          <w:tcPr>
            <w:tcW w:type="dxa" w:w="1728"/>
          </w:tcPr>
          <w:p>
            <w:r>
              <w:rPr>
                <w:rFonts w:ascii="Calibri" w:hAnsi="Calibri"/>
                <w:b/>
                <w:color w:val="30A46C"/>
                <w:sz w:val="22"/>
              </w:rPr>
              <w:t>Beat</w:t>
            </w:r>
          </w:p>
        </w:tc>
      </w:tr>
      <w:tr>
        <w:tc>
          <w:tcPr>
            <w:tcW w:type="dxa" w:w="1728"/>
          </w:tcPr>
          <w:p>
            <w:r>
              <w:rPr>
                <w:rFonts w:ascii="Calibri" w:hAnsi="Calibri"/>
                <w:sz w:val="22"/>
              </w:rPr>
              <w:t>3Q 2025</w:t>
            </w:r>
          </w:p>
        </w:tc>
        <w:tc>
          <w:tcPr>
            <w:tcW w:type="dxa" w:w="1728"/>
          </w:tcPr>
          <w:p>
            <w:r>
              <w:rPr>
                <w:rFonts w:ascii="Calibri" w:hAnsi="Calibri"/>
                <w:sz w:val="22"/>
              </w:rPr>
              <w:t>56.4%</w:t>
            </w:r>
          </w:p>
        </w:tc>
        <w:tc>
          <w:tcPr>
            <w:tcW w:type="dxa" w:w="1728"/>
          </w:tcPr>
          <w:p>
            <w:r>
              <w:rPr>
                <w:rFonts w:ascii="Calibri" w:hAnsi="Calibri"/>
                <w:sz w:val="22"/>
              </w:rPr>
              <w:t>59.7%</w:t>
            </w:r>
          </w:p>
        </w:tc>
        <w:tc>
          <w:tcPr>
            <w:tcW w:type="dxa" w:w="1728"/>
          </w:tcPr>
          <w:p>
            <w:r>
              <w:rPr>
                <w:rFonts w:ascii="Calibri" w:hAnsi="Calibri"/>
                <w:sz w:val="22"/>
              </w:rPr>
              <w:t>-330 bps</w:t>
            </w:r>
          </w:p>
        </w:tc>
        <w:tc>
          <w:tcPr>
            <w:tcW w:type="dxa" w:w="1728"/>
          </w:tcPr>
          <w:p>
            <w:r>
              <w:rPr>
                <w:rFonts w:ascii="Calibri" w:hAnsi="Calibri"/>
                <w:b/>
                <w:color w:val="30A46C"/>
                <w:sz w:val="22"/>
              </w:rPr>
              <w:t>Beat</w:t>
            </w:r>
          </w:p>
        </w:tc>
      </w:tr>
      <w:tr>
        <w:tc>
          <w:tcPr>
            <w:tcW w:type="dxa" w:w="1728"/>
          </w:tcPr>
          <w:p>
            <w:r>
              <w:rPr>
                <w:rFonts w:ascii="Calibri" w:hAnsi="Calibri"/>
                <w:sz w:val="22"/>
              </w:rPr>
              <w:t>2Q 2025</w:t>
            </w:r>
          </w:p>
        </w:tc>
        <w:tc>
          <w:tcPr>
            <w:tcW w:type="dxa" w:w="1728"/>
          </w:tcPr>
          <w:p>
            <w:r>
              <w:rPr>
                <w:rFonts w:ascii="Calibri" w:hAnsi="Calibri"/>
                <w:sz w:val="22"/>
              </w:rPr>
              <w:t>60.2%</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1Q 2025</w:t>
            </w:r>
          </w:p>
        </w:tc>
        <w:tc>
          <w:tcPr>
            <w:tcW w:type="dxa" w:w="1728"/>
          </w:tcPr>
          <w:p>
            <w:r>
              <w:rPr>
                <w:rFonts w:ascii="Calibri" w:hAnsi="Calibri"/>
                <w:sz w:val="22"/>
              </w:rPr>
              <w:t>60.7%</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4Q 2024</w:t>
            </w:r>
          </w:p>
        </w:tc>
        <w:tc>
          <w:tcPr>
            <w:tcW w:type="dxa" w:w="1728"/>
          </w:tcPr>
          <w:p>
            <w:r>
              <w:rPr>
                <w:rFonts w:ascii="Calibri" w:hAnsi="Calibri"/>
                <w:sz w:val="22"/>
              </w:rPr>
              <w:t>56.5%</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3Q 2024</w:t>
            </w:r>
          </w:p>
        </w:tc>
        <w:tc>
          <w:tcPr>
            <w:tcW w:type="dxa" w:w="1728"/>
          </w:tcPr>
          <w:p>
            <w:r>
              <w:rPr>
                <w:rFonts w:ascii="Calibri" w:hAnsi="Calibri"/>
                <w:sz w:val="22"/>
              </w:rPr>
              <w:t>62.7%</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2Q 2024</w:t>
            </w:r>
          </w:p>
        </w:tc>
        <w:tc>
          <w:tcPr>
            <w:tcW w:type="dxa" w:w="1728"/>
          </w:tcPr>
          <w:p>
            <w:r>
              <w:rPr>
                <w:rFonts w:ascii="Calibri" w:hAnsi="Calibri"/>
                <w:sz w:val="22"/>
              </w:rPr>
              <w:t>N/A — not in VA</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PFG has beaten Core EPS consensus in 6 of the last 7 quarters with available data, typically by 1–6%, reflecting consistent execution. On Specialty Benefits loss ratio, the last three quarters with available consensus data all showed meaningful beats (lower-than-expected loss ratios), underscoring the strength of the underwriting franchise — though management has explicitly guided for a seasonal Q2 uptick in dental.</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tone since the April 23 earnings call has been stable — no formal revisions have been issued via 8-K or conference. The July 20 AUM pre-release ($808B, +6.4% from beginning of period) is the only material post-earnings data point and is a positive read-through for fee-based revenue, but does not change formal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(1Q 2026 Earnings Call, Apr 23–24)</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2026 Financial Targets (overall)</w:t>
            </w:r>
          </w:p>
        </w:tc>
        <w:tc>
          <w:tcPr>
            <w:tcW w:type="dxa" w:w="1728"/>
          </w:tcPr>
          <w:p>
            <w:r>
              <w:rPr>
                <w:rFonts w:ascii="Calibri" w:hAnsi="Calibri"/>
                <w:sz w:val="22"/>
              </w:rPr>
              <w:t>Confident in delivering 2026 targets; EPS growth above high end of target range on ex-sig-variances basis in Q1</w:t>
            </w:r>
          </w:p>
        </w:tc>
        <w:tc>
          <w:tcPr>
            <w:tcW w:type="dxa" w:w="1728"/>
          </w:tcPr>
          <w:p>
            <w:r>
              <w:rPr>
                <w:rFonts w:ascii="Calibri" w:hAnsi="Calibri"/>
                <w:sz w:val="22"/>
              </w:rPr>
              <w:t>—</w:t>
            </w:r>
          </w:p>
        </w:tc>
        <w:tc>
          <w:tcPr>
            <w:tcW w:type="dxa" w:w="1728"/>
          </w:tcPr>
          <w:p>
            <w:r>
              <w:rPr>
                <w:rFonts w:ascii="Calibri" w:hAnsi="Calibri"/>
                <w:sz w:val="22"/>
              </w:rPr>
              <w:t>FY2026 Core EPS consensus ~$9.57</w:t>
            </w:r>
          </w:p>
        </w:tc>
        <w:tc>
          <w:tcPr>
            <w:tcW w:type="dxa" w:w="1728"/>
          </w:tcPr>
          <w:p>
            <w:r>
              <w:rPr>
                <w:rFonts w:ascii="Calibri" w:hAnsi="Calibri"/>
                <w:sz w:val="22"/>
              </w:rPr>
              <w:t>No post-earnings revision; tone unchanged</w:t>
            </w:r>
          </w:p>
        </w:tc>
      </w:tr>
      <w:tr>
        <w:tc>
          <w:tcPr>
            <w:tcW w:type="dxa" w:w="1728"/>
          </w:tcPr>
          <w:p>
            <w:r>
              <w:rPr>
                <w:rFonts w:ascii="Calibri" w:hAnsi="Calibri"/>
                <w:sz w:val="22"/>
              </w:rPr>
              <w:t>Specialty Benefits Loss Ratio (Q2)</w:t>
            </w:r>
          </w:p>
        </w:tc>
        <w:tc>
          <w:tcPr>
            <w:tcW w:type="dxa" w:w="1728"/>
          </w:tcPr>
          <w:p>
            <w:r>
              <w:rPr>
                <w:rFonts w:ascii="Calibri" w:hAnsi="Calibri"/>
                <w:sz w:val="22"/>
              </w:rPr>
              <w:t>"Rise a bit" in Q2 due to dental seasonality; full year at low end or slightly below target range</w:t>
            </w:r>
          </w:p>
        </w:tc>
        <w:tc>
          <w:tcPr>
            <w:tcW w:type="dxa" w:w="1728"/>
          </w:tcPr>
          <w:p>
            <w:r>
              <w:rPr>
                <w:rFonts w:ascii="Calibri" w:hAnsi="Calibri"/>
                <w:sz w:val="22"/>
              </w:rPr>
              <w:t>—</w:t>
            </w:r>
          </w:p>
        </w:tc>
        <w:tc>
          <w:tcPr>
            <w:tcW w:type="dxa" w:w="1728"/>
          </w:tcPr>
          <w:p>
            <w:r>
              <w:rPr>
                <w:rFonts w:ascii="Calibri" w:hAnsi="Calibri"/>
                <w:sz w:val="22"/>
              </w:rPr>
              <w:t>~60.4% (2Q26 consensus)</w:t>
            </w:r>
          </w:p>
        </w:tc>
        <w:tc>
          <w:tcPr>
            <w:tcW w:type="dxa" w:w="1728"/>
          </w:tcPr>
          <w:p>
            <w:r>
              <w:rPr>
                <w:rFonts w:ascii="Calibri" w:hAnsi="Calibri"/>
                <w:sz w:val="22"/>
              </w:rPr>
              <w:t>Consensus consistent with management’s seasonal guidance; no revision</w:t>
            </w:r>
          </w:p>
        </w:tc>
      </w:tr>
      <w:tr>
        <w:tc>
          <w:tcPr>
            <w:tcW w:type="dxa" w:w="1728"/>
          </w:tcPr>
          <w:p>
            <w:r>
              <w:rPr>
                <w:rFonts w:ascii="Calibri" w:hAnsi="Calibri"/>
                <w:sz w:val="22"/>
              </w:rPr>
              <w:t>Investment Management NCF</w:t>
            </w:r>
          </w:p>
        </w:tc>
        <w:tc>
          <w:tcPr>
            <w:tcW w:type="dxa" w:w="1728"/>
          </w:tcPr>
          <w:p>
            <w:r>
              <w:rPr>
                <w:rFonts w:ascii="Calibri" w:hAnsi="Calibri"/>
                <w:sz w:val="22"/>
              </w:rPr>
              <w:t>Expects NCF profile to improve for balance of year as redemptions normalize; commitment pipeline &gt;$9B</w:t>
            </w:r>
          </w:p>
        </w:tc>
        <w:tc>
          <w:tcPr>
            <w:tcW w:type="dxa" w:w="1728"/>
          </w:tcPr>
          <w:p>
            <w:r>
              <w:rPr>
                <w:rFonts w:ascii="Calibri" w:hAnsi="Calibri"/>
                <w:sz w:val="22"/>
              </w:rPr>
              <w:t>—</w:t>
            </w:r>
          </w:p>
        </w:tc>
        <w:tc>
          <w:tcPr>
            <w:tcW w:type="dxa" w:w="1728"/>
          </w:tcPr>
          <w:p>
            <w:r>
              <w:rPr>
                <w:rFonts w:ascii="Calibri" w:hAnsi="Calibri"/>
                <w:sz w:val="22"/>
              </w:rPr>
              <w:t>FY2026 consensus ~-$10.9B</w:t>
            </w:r>
          </w:p>
        </w:tc>
        <w:tc>
          <w:tcPr>
            <w:tcW w:type="dxa" w:w="1728"/>
          </w:tcPr>
          <w:p>
            <w:r>
              <w:rPr>
                <w:rFonts w:ascii="Calibri" w:hAnsi="Calibri"/>
                <w:sz w:val="22"/>
              </w:rPr>
              <w:t>No revision; July 20 AUM pre-release ($808B) is a positive market tailwind signal</w:t>
            </w:r>
          </w:p>
        </w:tc>
      </w:tr>
      <w:tr>
        <w:tc>
          <w:tcPr>
            <w:tcW w:type="dxa" w:w="1728"/>
          </w:tcPr>
          <w:p>
            <w:r>
              <w:rPr>
                <w:rFonts w:ascii="Calibri" w:hAnsi="Calibri"/>
                <w:sz w:val="22"/>
              </w:rPr>
              <w:t>Variable Investment Income (VII)</w:t>
            </w:r>
          </w:p>
        </w:tc>
        <w:tc>
          <w:tcPr>
            <w:tcW w:type="dxa" w:w="1728"/>
          </w:tcPr>
          <w:p>
            <w:r>
              <w:rPr>
                <w:rFonts w:ascii="Calibri" w:hAnsi="Calibri"/>
                <w:sz w:val="22"/>
              </w:rPr>
              <w:t>Full year 2026 VII expected to improve vs. 2025; pickup in activity expected in Q2–Q4; no macro change needed</w:t>
            </w:r>
          </w:p>
        </w:tc>
        <w:tc>
          <w:tcPr>
            <w:tcW w:type="dxa" w:w="1728"/>
          </w:tcPr>
          <w:p>
            <w:r>
              <w:rPr>
                <w:rFonts w:ascii="Calibri" w:hAnsi="Calibri"/>
                <w:sz w:val="22"/>
              </w:rPr>
              <w:t>—</w:t>
            </w:r>
          </w:p>
        </w:tc>
        <w:tc>
          <w:tcPr>
            <w:tcW w:type="dxa" w:w="1728"/>
          </w:tcPr>
          <w:p>
            <w:r>
              <w:rPr>
                <w:rFonts w:ascii="Calibri" w:hAnsi="Calibri"/>
                <w:sz w:val="22"/>
              </w:rPr>
              <w:t>N/A — not separately tracked in VA consensus</w:t>
            </w:r>
          </w:p>
        </w:tc>
        <w:tc>
          <w:tcPr>
            <w:tcW w:type="dxa" w:w="1728"/>
          </w:tcPr>
          <w:p>
            <w:r>
              <w:rPr>
                <w:rFonts w:ascii="Calibri" w:hAnsi="Calibri"/>
                <w:sz w:val="22"/>
              </w:rPr>
              <w:t>Q1 had no real estate transaction activity; Q2 pickup is a key watch item</w:t>
            </w:r>
          </w:p>
        </w:tc>
      </w:tr>
      <w:tr>
        <w:tc>
          <w:tcPr>
            <w:tcW w:type="dxa" w:w="1728"/>
          </w:tcPr>
          <w:p>
            <w:r>
              <w:rPr>
                <w:rFonts w:ascii="Calibri" w:hAnsi="Calibri"/>
                <w:sz w:val="22"/>
              </w:rPr>
              <w:t>Capital Return / Dividend</w:t>
            </w:r>
          </w:p>
        </w:tc>
        <w:tc>
          <w:tcPr>
            <w:tcW w:type="dxa" w:w="1728"/>
          </w:tcPr>
          <w:p>
            <w:r>
              <w:rPr>
                <w:rFonts w:ascii="Calibri" w:hAnsi="Calibri"/>
                <w:sz w:val="22"/>
              </w:rPr>
              <w:t>$0.82/share Q2 dividend declared (8% YoY increase); ongoing share repurchases; $1.45B excess capital at Q1 end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Dividend payable June 26, 2026; capital return posture unchanged</w:t>
            </w:r>
          </w:p>
        </w:tc>
      </w:tr>
      <w:tr>
        <w:tc>
          <w:tcPr>
            <w:tcW w:type="dxa" w:w="1728"/>
          </w:tcPr>
          <w:p>
            <w:r>
              <w:rPr>
                <w:rFonts w:ascii="Calibri" w:hAnsi="Calibri"/>
                <w:sz w:val="22"/>
              </w:rPr>
              <w:t>Individual Life Segment Margin</w:t>
            </w:r>
          </w:p>
        </w:tc>
        <w:tc>
          <w:tcPr>
            <w:tcW w:type="dxa" w:w="1728"/>
          </w:tcPr>
          <w:p>
            <w:r>
              <w:rPr>
                <w:rFonts w:ascii="Calibri" w:hAnsi="Calibri"/>
                <w:sz w:val="22"/>
              </w:rPr>
              <w:t>Full year expected toward lower end of 12–16% target range; Q1 was outsized due to favorable mortality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Q1 mortality benefit unlikely to fully repeat; normalization expected in Q2</w:t>
            </w:r>
          </w:p>
        </w:tc>
      </w:tr>
      <w:tr>
        <w:tc>
          <w:tcPr>
            <w:tcW w:type="dxa" w:w="1728"/>
          </w:tcPr>
          <w:p>
            <w:r>
              <w:rPr>
                <w:rFonts w:ascii="Calibri" w:hAnsi="Calibri"/>
                <w:sz w:val="22"/>
              </w:rPr>
              <w:t>International Pension Run Rate</w:t>
            </w:r>
          </w:p>
        </w:tc>
        <w:tc>
          <w:tcPr>
            <w:tcW w:type="dxa" w:w="1728"/>
          </w:tcPr>
          <w:p>
            <w:r>
              <w:rPr>
                <w:rFonts w:ascii="Calibri" w:hAnsi="Calibri"/>
                <w:sz w:val="22"/>
              </w:rPr>
              <w:t>"Good run rate" ~mid-$70M/quarter; Q1 was elevated by $7M China Construction Bank performance fee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Q2 earnings likely to normalize from Q1’s $83M; watch for FX tailwinds given USD weakness</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April 23 print — 2Q 2026 Core EPS consensus moved only from ~$2.35 to ~$2.35, and FY2026 from ~$9.50 to ~$9.57, suggesting the street is tracking guidance closely with no meaningful divergence. The slight upward drift in FY EPS is consistent with Q1’s beat, but the gap is small enough that it represents cushion rather than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Last Earnings (Apr 30,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(1Q26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Core EPS — Diluted (2Q 2026)</w:t>
            </w:r>
          </w:p>
        </w:tc>
        <w:tc>
          <w:tcPr>
            <w:tcW w:type="dxa" w:w="1080"/>
          </w:tcPr>
          <w:p>
            <w:r>
              <w:rPr>
                <w:rFonts w:ascii="Calibri" w:hAnsi="Calibri"/>
                <w:sz w:val="22"/>
              </w:rPr>
              <w:t>$2.35</w:t>
            </w:r>
          </w:p>
        </w:tc>
        <w:tc>
          <w:tcPr>
            <w:tcW w:type="dxa" w:w="1080"/>
          </w:tcPr>
          <w:p>
            <w:r>
              <w:rPr>
                <w:rFonts w:ascii="Calibri" w:hAnsi="Calibri"/>
                <w:sz w:val="22"/>
              </w:rPr>
              <w:t>$2.35</w:t>
            </w:r>
          </w:p>
        </w:tc>
        <w:tc>
          <w:tcPr>
            <w:tcW w:type="dxa" w:w="1080"/>
          </w:tcPr>
          <w:p>
            <w:r>
              <w:rPr>
                <w:rFonts w:ascii="Calibri" w:hAnsi="Calibri"/>
                <w:sz w:val="22"/>
              </w:rPr>
              <w:t>~0%</w:t>
            </w:r>
          </w:p>
        </w:tc>
        <w:tc>
          <w:tcPr>
            <w:tcW w:type="dxa" w:w="1080"/>
          </w:tcPr>
          <w:p>
            <w:r>
              <w:rPr>
                <w:rFonts w:ascii="Calibri" w:hAnsi="Calibri"/>
                <w:sz w:val="22"/>
              </w:rPr>
              <w:t>No specific Q2 guide; confident in 2026 targets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Core EPS — Diluted (FY 2026)</w:t>
            </w:r>
          </w:p>
        </w:tc>
        <w:tc>
          <w:tcPr>
            <w:tcW w:type="dxa" w:w="1080"/>
          </w:tcPr>
          <w:p>
            <w:r>
              <w:rPr>
                <w:rFonts w:ascii="Calibri" w:hAnsi="Calibri"/>
                <w:sz w:val="22"/>
              </w:rPr>
              <w:t>$9.50</w:t>
            </w:r>
          </w:p>
        </w:tc>
        <w:tc>
          <w:tcPr>
            <w:tcW w:type="dxa" w:w="1080"/>
          </w:tcPr>
          <w:p>
            <w:r>
              <w:rPr>
                <w:rFonts w:ascii="Calibri" w:hAnsi="Calibri"/>
                <w:sz w:val="22"/>
              </w:rPr>
              <w:t>$9.57</w:t>
            </w:r>
          </w:p>
        </w:tc>
        <w:tc>
          <w:tcPr>
            <w:tcW w:type="dxa" w:w="1080"/>
          </w:tcPr>
          <w:p>
            <w:r>
              <w:rPr>
                <w:rFonts w:ascii="Calibri" w:hAnsi="Calibri"/>
                <w:sz w:val="22"/>
              </w:rPr>
              <w:t>+0.7%</w:t>
            </w:r>
          </w:p>
        </w:tc>
        <w:tc>
          <w:tcPr>
            <w:tcW w:type="dxa" w:w="1080"/>
          </w:tcPr>
          <w:p>
            <w:r>
              <w:rPr>
                <w:rFonts w:ascii="Calibri" w:hAnsi="Calibri"/>
                <w:sz w:val="22"/>
              </w:rPr>
              <w:t>Confident in 2026 targets; EPS growth above high end of target range in Q1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specific FY EPS guide)</w:t>
            </w:r>
          </w:p>
        </w:tc>
      </w:tr>
      <w:tr>
        <w:tc>
          <w:tcPr>
            <w:tcW w:type="dxa" w:w="1080"/>
          </w:tcPr>
          <w:p>
            <w:r>
              <w:rPr>
                <w:rFonts w:ascii="Calibri" w:hAnsi="Calibri"/>
                <w:sz w:val="22"/>
              </w:rPr>
              <w:t>Incurred Loss Ratio — Specialty Benefits (2Q 2026)</w:t>
            </w:r>
          </w:p>
        </w:tc>
        <w:tc>
          <w:tcPr>
            <w:tcW w:type="dxa" w:w="1080"/>
          </w:tcPr>
          <w:p>
            <w:r>
              <w:rPr>
                <w:rFonts w:ascii="Calibri" w:hAnsi="Calibri"/>
                <w:sz w:val="22"/>
              </w:rPr>
              <w:t>~60.5%</w:t>
            </w:r>
          </w:p>
        </w:tc>
        <w:tc>
          <w:tcPr>
            <w:tcW w:type="dxa" w:w="1080"/>
          </w:tcPr>
          <w:p>
            <w:r>
              <w:rPr>
                <w:rFonts w:ascii="Calibri" w:hAnsi="Calibri"/>
                <w:sz w:val="22"/>
              </w:rPr>
              <w:t>~60.4%</w:t>
            </w:r>
          </w:p>
        </w:tc>
        <w:tc>
          <w:tcPr>
            <w:tcW w:type="dxa" w:w="1080"/>
          </w:tcPr>
          <w:p>
            <w:r>
              <w:rPr>
                <w:rFonts w:ascii="Calibri" w:hAnsi="Calibri"/>
                <w:sz w:val="22"/>
              </w:rPr>
              <w:t>-0.2%</w:t>
            </w:r>
          </w:p>
        </w:tc>
        <w:tc>
          <w:tcPr>
            <w:tcW w:type="dxa" w:w="1080"/>
          </w:tcPr>
          <w:p>
            <w:r>
              <w:rPr>
                <w:rFonts w:ascii="Calibri" w:hAnsi="Calibri"/>
                <w:sz w:val="22"/>
              </w:rPr>
              <w:t>"Rise a bit" in Q2; full year at low end or slightly below target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consistent with guidance</w:t>
            </w:r>
          </w:p>
        </w:tc>
      </w:tr>
      <w:tr>
        <w:tc>
          <w:tcPr>
            <w:tcW w:type="dxa" w:w="1080"/>
          </w:tcPr>
          <w:p>
            <w:r>
              <w:rPr>
                <w:rFonts w:ascii="Calibri" w:hAnsi="Calibri"/>
                <w:sz w:val="22"/>
              </w:rPr>
              <w:t>Incurred Loss Ratio — Specialty Benefits (FY 2026)</w:t>
            </w:r>
          </w:p>
        </w:tc>
        <w:tc>
          <w:tcPr>
            <w:tcW w:type="dxa" w:w="1080"/>
          </w:tcPr>
          <w:p>
            <w:r>
              <w:rPr>
                <w:rFonts w:ascii="Calibri" w:hAnsi="Calibri"/>
                <w:sz w:val="22"/>
              </w:rPr>
              <w:t>~59.4%</w:t>
            </w:r>
          </w:p>
        </w:tc>
        <w:tc>
          <w:tcPr>
            <w:tcW w:type="dxa" w:w="1080"/>
          </w:tcPr>
          <w:p>
            <w:r>
              <w:rPr>
                <w:rFonts w:ascii="Calibri" w:hAnsi="Calibri"/>
                <w:sz w:val="22"/>
              </w:rPr>
              <w:t>~59.3%</w:t>
            </w:r>
          </w:p>
        </w:tc>
        <w:tc>
          <w:tcPr>
            <w:tcW w:type="dxa" w:w="1080"/>
          </w:tcPr>
          <w:p>
            <w:r>
              <w:rPr>
                <w:rFonts w:ascii="Calibri" w:hAnsi="Calibri"/>
                <w:sz w:val="22"/>
              </w:rPr>
              <w:t>-0.2%</w:t>
            </w:r>
          </w:p>
        </w:tc>
        <w:tc>
          <w:tcPr>
            <w:tcW w:type="dxa" w:w="1080"/>
          </w:tcPr>
          <w:p>
            <w:r>
              <w:rPr>
                <w:rFonts w:ascii="Calibri" w:hAnsi="Calibri"/>
                <w:sz w:val="22"/>
              </w:rPr>
              <w:t>Low end or slightly below target range for full year</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tracking guidance</w:t>
            </w:r>
          </w:p>
        </w:tc>
      </w:tr>
      <w:tr>
        <w:tc>
          <w:tcPr>
            <w:tcW w:type="dxa" w:w="1080"/>
          </w:tcPr>
          <w:p>
            <w:r>
              <w:rPr>
                <w:rFonts w:ascii="Calibri" w:hAnsi="Calibri"/>
                <w:sz w:val="22"/>
              </w:rPr>
              <w:t>Net Cash Flows — Inv. Mgmt. (2Q 2026)</w:t>
            </w:r>
          </w:p>
        </w:tc>
        <w:tc>
          <w:tcPr>
            <w:tcW w:type="dxa" w:w="1080"/>
          </w:tcPr>
          <w:p>
            <w:r>
              <w:rPr>
                <w:rFonts w:ascii="Calibri" w:hAnsi="Calibri"/>
                <w:sz w:val="22"/>
              </w:rPr>
              <w:t>~-$1,553M</w:t>
            </w:r>
          </w:p>
        </w:tc>
        <w:tc>
          <w:tcPr>
            <w:tcW w:type="dxa" w:w="1080"/>
          </w:tcPr>
          <w:p>
            <w:r>
              <w:rPr>
                <w:rFonts w:ascii="Calibri" w:hAnsi="Calibri"/>
                <w:sz w:val="22"/>
              </w:rPr>
              <w:t>~-$5,492M</w:t>
            </w:r>
          </w:p>
        </w:tc>
        <w:tc>
          <w:tcPr>
            <w:tcW w:type="dxa" w:w="1080"/>
          </w:tcPr>
          <w:p>
            <w:r>
              <w:rPr>
                <w:rFonts w:ascii="Calibri" w:hAnsi="Calibri"/>
                <w:sz w:val="22"/>
              </w:rPr>
              <w:t>-254% (more negative)</w:t>
            </w:r>
          </w:p>
        </w:tc>
        <w:tc>
          <w:tcPr>
            <w:tcW w:type="dxa" w:w="1080"/>
          </w:tcPr>
          <w:p>
            <w:r>
              <w:rPr>
                <w:rFonts w:ascii="Calibri" w:hAnsi="Calibri"/>
                <w:sz w:val="22"/>
              </w:rPr>
              <w:t>NCF profile to improve for balance of year</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more negative than guidance tone implies; improvement vs. Q1 would be upside</w:t>
            </w:r>
          </w:p>
        </w:tc>
      </w:tr>
      <w:tr>
        <w:tc>
          <w:tcPr>
            <w:tcW w:type="dxa" w:w="1080"/>
          </w:tcPr>
          <w:p>
            <w:r>
              <w:rPr>
                <w:rFonts w:ascii="Calibri" w:hAnsi="Calibri"/>
                <w:sz w:val="22"/>
              </w:rPr>
              <w:t>Net Cash Flows — Inv. Mgmt. (FY 2026)</w:t>
            </w:r>
          </w:p>
        </w:tc>
        <w:tc>
          <w:tcPr>
            <w:tcW w:type="dxa" w:w="1080"/>
          </w:tcPr>
          <w:p>
            <w:r>
              <w:rPr>
                <w:rFonts w:ascii="Calibri" w:hAnsi="Calibri"/>
                <w:sz w:val="22"/>
              </w:rPr>
              <w:t>~-$7,481M</w:t>
            </w:r>
          </w:p>
        </w:tc>
        <w:tc>
          <w:tcPr>
            <w:tcW w:type="dxa" w:w="1080"/>
          </w:tcPr>
          <w:p>
            <w:r>
              <w:rPr>
                <w:rFonts w:ascii="Calibri" w:hAnsi="Calibri"/>
                <w:sz w:val="22"/>
              </w:rPr>
              <w:t>~-$10,875M</w:t>
            </w:r>
          </w:p>
        </w:tc>
        <w:tc>
          <w:tcPr>
            <w:tcW w:type="dxa" w:w="1080"/>
          </w:tcPr>
          <w:p>
            <w:r>
              <w:rPr>
                <w:rFonts w:ascii="Calibri" w:hAnsi="Calibri"/>
                <w:sz w:val="22"/>
              </w:rPr>
              <w:t>-45% (more negative)</w:t>
            </w:r>
          </w:p>
        </w:tc>
        <w:tc>
          <w:tcPr>
            <w:tcW w:type="dxa" w:w="1080"/>
          </w:tcPr>
          <w:p>
            <w:r>
              <w:rPr>
                <w:rFonts w:ascii="Calibri" w:hAnsi="Calibri"/>
                <w:sz w:val="22"/>
              </w:rPr>
              <w:t>Expects NCF to improve through year; commitment pipeline &gt;$9B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has moved more negative since earnings; gap vs. guidance tone is a risk</w:t>
            </w:r>
          </w:p>
        </w:tc>
      </w:tr>
    </w:tbl>
    <w:p>
      <w:r>
        <w:rPr>
          <w:rFonts w:ascii="Calibri" w:hAnsi="Calibri"/>
          <w:color w:val="525866"/>
          <w:sz w:val="22"/>
        </w:rPr>
        <w:t>The most notable divergence is in Investment Management net cash flows: the post-earnings baseline consensus (~-$1.6B for Q2) has since moved to ~-$5.5B, suggesting analysts have grown more skeptical about the pace of redemption normalization. This gap between management’s constructive tone and the street’s more cautious flow estimate is the key debate heading into the print. If actual Q2 flows come in better than the -$5.5B consensus, it would be a meaningful positive catalyst.</w:t>
      </w:r>
    </w:p>
    <w:p>
      <w:r>
        <w:rPr>
          <w:rFonts w:ascii="Calibri" w:hAnsi="Calibri"/>
          <w:i/>
          <w:color w:val="525866"/>
          <w:sz w:val="22"/>
        </w:rPr>
        <w:t>Source: Visible Alpha consensus and actuals data. As-of date for post-earnings baseline: April 30, 2026 (approximately 5 trading days post Q1 2026 earnings release on April 23,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The stock’s +35% 12-month gain has been driven by a roughly equal mix of multiple expansion and earnings growth — P/E expanded from ~9.3x to ~10.75x NTM while EPS estimates rose modestly. Over the past 3 months, multiple expansion (+5.3%) has been the primary driver of the +12.8% move, suggesting the stock is pricing in continued execution rather than a step-change in fundamentals.</w:t>
      </w:r>
    </w:p>
    <w:p>
      <w:r>
        <w:rPr>
          <w:rFonts w:ascii="Calibri" w:hAnsi="Calibri"/>
          <w:b/>
          <w:color w:val="525866"/>
          <w:sz w:val="22"/>
        </w:rPr>
        <w:t>Stock Performance Decomposition (Source: Implied platform, snapshot July 24, 2026):</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Price Return</w:t>
            </w:r>
          </w:p>
        </w:tc>
        <w:tc>
          <w:tcPr>
            <w:tcW w:type="dxa" w:w="1440"/>
            <w:shd w:val="clear" w:color="auto" w:fill="3B4259"/>
          </w:tcPr>
          <w:p>
            <w:r>
              <w:rPr>
                <w:rFonts w:ascii="Calibri" w:hAnsi="Calibri"/>
                <w:b/>
                <w:color w:val="FFFFFF"/>
                <w:sz w:val="22"/>
              </w:rPr>
              <w:t>NTM P/E at Start</w:t>
            </w:r>
          </w:p>
        </w:tc>
        <w:tc>
          <w:tcPr>
            <w:tcW w:type="dxa" w:w="1440"/>
            <w:shd w:val="clear" w:color="auto" w:fill="3B4259"/>
          </w:tcPr>
          <w:p>
            <w:r>
              <w:rPr>
                <w:rFonts w:ascii="Calibri" w:hAnsi="Calibri"/>
                <w:b/>
                <w:color w:val="FFFFFF"/>
                <w:sz w:val="22"/>
              </w:rPr>
              <w:t>NTM P/E Now</w:t>
            </w:r>
          </w:p>
        </w:tc>
        <w:tc>
          <w:tcPr>
            <w:tcW w:type="dxa" w:w="1440"/>
            <w:shd w:val="clear" w:color="auto" w:fill="3B4259"/>
          </w:tcPr>
          <w:p>
            <w:r>
              <w:rPr>
                <w:rFonts w:ascii="Calibri" w:hAnsi="Calibri"/>
                <w:b/>
                <w:color w:val="FFFFFF"/>
                <w:sz w:val="22"/>
              </w:rPr>
              <w:t>Multiple Δ</w:t>
            </w:r>
          </w:p>
        </w:tc>
        <w:tc>
          <w:tcPr>
            <w:tcW w:type="dxa" w:w="1440"/>
            <w:shd w:val="clear" w:color="auto" w:fill="3B4259"/>
          </w:tcPr>
          <w:p>
            <w:r>
              <w:rPr>
                <w:rFonts w:ascii="Calibri" w:hAnsi="Calibri"/>
                <w:b/>
                <w:color w:val="FFFFFF"/>
                <w:sz w:val="22"/>
              </w:rPr>
              <w:t>Implied EPS Growth Contribution</w:t>
            </w:r>
          </w:p>
        </w:tc>
      </w:tr>
      <w:tr>
        <w:tc>
          <w:tcPr>
            <w:tcW w:type="dxa" w:w="1440"/>
          </w:tcPr>
          <w:p>
            <w:r>
              <w:rPr>
                <w:rFonts w:ascii="Calibri" w:hAnsi="Calibri"/>
                <w:sz w:val="22"/>
              </w:rPr>
              <w:t>1 Month</w:t>
            </w:r>
          </w:p>
        </w:tc>
        <w:tc>
          <w:tcPr>
            <w:tcW w:type="dxa" w:w="1440"/>
          </w:tcPr>
          <w:p>
            <w:r>
              <w:rPr>
                <w:rFonts w:ascii="Calibri" w:hAnsi="Calibri"/>
                <w:sz w:val="22"/>
              </w:rPr>
              <w:t>+2.6%</w:t>
            </w:r>
          </w:p>
        </w:tc>
        <w:tc>
          <w:tcPr>
            <w:tcW w:type="dxa" w:w="1440"/>
          </w:tcPr>
          <w:p>
            <w:r>
              <w:rPr>
                <w:rFonts w:ascii="Calibri" w:hAnsi="Calibri"/>
                <w:sz w:val="22"/>
              </w:rPr>
              <w:t>11.46x</w:t>
            </w:r>
          </w:p>
        </w:tc>
        <w:tc>
          <w:tcPr>
            <w:tcW w:type="dxa" w:w="1440"/>
          </w:tcPr>
          <w:p>
            <w:r>
              <w:rPr>
                <w:rFonts w:ascii="Calibri" w:hAnsi="Calibri"/>
                <w:sz w:val="22"/>
              </w:rPr>
              <w:t>10.75x</w:t>
            </w:r>
          </w:p>
        </w:tc>
        <w:tc>
          <w:tcPr>
            <w:tcW w:type="dxa" w:w="1440"/>
          </w:tcPr>
          <w:p>
            <w:r>
              <w:rPr>
                <w:rFonts w:ascii="Calibri" w:hAnsi="Calibri"/>
                <w:sz w:val="22"/>
              </w:rPr>
              <w:t>-6.2%</w:t>
            </w:r>
          </w:p>
        </w:tc>
        <w:tc>
          <w:tcPr>
            <w:tcW w:type="dxa" w:w="1440"/>
          </w:tcPr>
          <w:p>
            <w:r>
              <w:rPr>
                <w:rFonts w:ascii="Calibri" w:hAnsi="Calibri"/>
                <w:sz w:val="22"/>
              </w:rPr>
              <w:t>~+9% (EPS-driven)</w:t>
            </w:r>
          </w:p>
        </w:tc>
      </w:tr>
      <w:tr>
        <w:tc>
          <w:tcPr>
            <w:tcW w:type="dxa" w:w="1440"/>
          </w:tcPr>
          <w:p>
            <w:r>
              <w:rPr>
                <w:rFonts w:ascii="Calibri" w:hAnsi="Calibri"/>
                <w:sz w:val="22"/>
              </w:rPr>
              <w:t>3 Months</w:t>
            </w:r>
          </w:p>
        </w:tc>
        <w:tc>
          <w:tcPr>
            <w:tcW w:type="dxa" w:w="1440"/>
          </w:tcPr>
          <w:p>
            <w:r>
              <w:rPr>
                <w:rFonts w:ascii="Calibri" w:hAnsi="Calibri"/>
                <w:sz w:val="22"/>
              </w:rPr>
              <w:t>+12.8%</w:t>
            </w:r>
          </w:p>
        </w:tc>
        <w:tc>
          <w:tcPr>
            <w:tcW w:type="dxa" w:w="1440"/>
          </w:tcPr>
          <w:p>
            <w:r>
              <w:rPr>
                <w:rFonts w:ascii="Calibri" w:hAnsi="Calibri"/>
                <w:sz w:val="22"/>
              </w:rPr>
              <w:t>10.20x</w:t>
            </w:r>
          </w:p>
        </w:tc>
        <w:tc>
          <w:tcPr>
            <w:tcW w:type="dxa" w:w="1440"/>
          </w:tcPr>
          <w:p>
            <w:r>
              <w:rPr>
                <w:rFonts w:ascii="Calibri" w:hAnsi="Calibri"/>
                <w:sz w:val="22"/>
              </w:rPr>
              <w:t>10.75x</w:t>
            </w:r>
          </w:p>
        </w:tc>
        <w:tc>
          <w:tcPr>
            <w:tcW w:type="dxa" w:w="1440"/>
          </w:tcPr>
          <w:p>
            <w:r>
              <w:rPr>
                <w:rFonts w:ascii="Calibri" w:hAnsi="Calibri"/>
                <w:sz w:val="22"/>
              </w:rPr>
              <w:t>+5.3%</w:t>
            </w:r>
          </w:p>
        </w:tc>
        <w:tc>
          <w:tcPr>
            <w:tcW w:type="dxa" w:w="1440"/>
          </w:tcPr>
          <w:p>
            <w:r>
              <w:rPr>
                <w:rFonts w:ascii="Calibri" w:hAnsi="Calibri"/>
                <w:sz w:val="22"/>
              </w:rPr>
              <w:t>~+7% (EPS-driven)</w:t>
            </w:r>
          </w:p>
        </w:tc>
      </w:tr>
      <w:tr>
        <w:tc>
          <w:tcPr>
            <w:tcW w:type="dxa" w:w="1440"/>
          </w:tcPr>
          <w:p>
            <w:r>
              <w:rPr>
                <w:rFonts w:ascii="Calibri" w:hAnsi="Calibri"/>
                <w:sz w:val="22"/>
              </w:rPr>
              <w:t>6 Months</w:t>
            </w:r>
          </w:p>
        </w:tc>
        <w:tc>
          <w:tcPr>
            <w:tcW w:type="dxa" w:w="1440"/>
          </w:tcPr>
          <w:p>
            <w:r>
              <w:rPr>
                <w:rFonts w:ascii="Calibri" w:hAnsi="Calibri"/>
                <w:sz w:val="22"/>
              </w:rPr>
              <w:t>+18.8%</w:t>
            </w:r>
          </w:p>
        </w:tc>
        <w:tc>
          <w:tcPr>
            <w:tcW w:type="dxa" w:w="1440"/>
          </w:tcPr>
          <w:p>
            <w:r>
              <w:rPr>
                <w:rFonts w:ascii="Calibri" w:hAnsi="Calibri"/>
                <w:sz w:val="22"/>
              </w:rPr>
              <w:t>9.65x</w:t>
            </w:r>
          </w:p>
        </w:tc>
        <w:tc>
          <w:tcPr>
            <w:tcW w:type="dxa" w:w="1440"/>
          </w:tcPr>
          <w:p>
            <w:r>
              <w:rPr>
                <w:rFonts w:ascii="Calibri" w:hAnsi="Calibri"/>
                <w:sz w:val="22"/>
              </w:rPr>
              <w:t>10.75x</w:t>
            </w:r>
          </w:p>
        </w:tc>
        <w:tc>
          <w:tcPr>
            <w:tcW w:type="dxa" w:w="1440"/>
          </w:tcPr>
          <w:p>
            <w:r>
              <w:rPr>
                <w:rFonts w:ascii="Calibri" w:hAnsi="Calibri"/>
                <w:sz w:val="22"/>
              </w:rPr>
              <w:t>+11.3%</w:t>
            </w:r>
          </w:p>
        </w:tc>
        <w:tc>
          <w:tcPr>
            <w:tcW w:type="dxa" w:w="1440"/>
          </w:tcPr>
          <w:p>
            <w:r>
              <w:rPr>
                <w:rFonts w:ascii="Calibri" w:hAnsi="Calibri"/>
                <w:sz w:val="22"/>
              </w:rPr>
              <w:t>~+7% (EPS-driven)</w:t>
            </w:r>
          </w:p>
        </w:tc>
      </w:tr>
      <w:tr>
        <w:tc>
          <w:tcPr>
            <w:tcW w:type="dxa" w:w="1440"/>
          </w:tcPr>
          <w:p>
            <w:r>
              <w:rPr>
                <w:rFonts w:ascii="Calibri" w:hAnsi="Calibri"/>
                <w:sz w:val="22"/>
              </w:rPr>
              <w:t>12 Months</w:t>
            </w:r>
          </w:p>
        </w:tc>
        <w:tc>
          <w:tcPr>
            <w:tcW w:type="dxa" w:w="1440"/>
          </w:tcPr>
          <w:p>
            <w:r>
              <w:rPr>
                <w:rFonts w:ascii="Calibri" w:hAnsi="Calibri"/>
                <w:sz w:val="22"/>
              </w:rPr>
              <w:t>+35.3%</w:t>
            </w:r>
          </w:p>
        </w:tc>
        <w:tc>
          <w:tcPr>
            <w:tcW w:type="dxa" w:w="1440"/>
          </w:tcPr>
          <w:p>
            <w:r>
              <w:rPr>
                <w:rFonts w:ascii="Calibri" w:hAnsi="Calibri"/>
                <w:sz w:val="22"/>
              </w:rPr>
              <w:t>9.26x</w:t>
            </w:r>
          </w:p>
        </w:tc>
        <w:tc>
          <w:tcPr>
            <w:tcW w:type="dxa" w:w="1440"/>
          </w:tcPr>
          <w:p>
            <w:r>
              <w:rPr>
                <w:rFonts w:ascii="Calibri" w:hAnsi="Calibri"/>
                <w:sz w:val="22"/>
              </w:rPr>
              <w:t>10.75x</w:t>
            </w:r>
          </w:p>
        </w:tc>
        <w:tc>
          <w:tcPr>
            <w:tcW w:type="dxa" w:w="1440"/>
          </w:tcPr>
          <w:p>
            <w:r>
              <w:rPr>
                <w:rFonts w:ascii="Calibri" w:hAnsi="Calibri"/>
                <w:sz w:val="22"/>
              </w:rPr>
              <w:t>+16.1%</w:t>
            </w:r>
          </w:p>
        </w:tc>
        <w:tc>
          <w:tcPr>
            <w:tcW w:type="dxa" w:w="1440"/>
          </w:tcPr>
          <w:p>
            <w:r>
              <w:rPr>
                <w:rFonts w:ascii="Calibri" w:hAnsi="Calibri"/>
                <w:sz w:val="22"/>
              </w:rPr>
              <w:t>~+19% (EPS-driven)</w:t>
            </w:r>
          </w:p>
        </w:tc>
      </w:tr>
    </w:tbl>
    <w:p>
      <w:r>
        <w:rPr>
          <w:rFonts w:ascii="Calibri" w:hAnsi="Calibri"/>
          <w:color w:val="525866"/>
          <w:sz w:val="22"/>
        </w:rPr>
        <w:t>Current NTM multiples: P/E 10.75x | P/Book 1.73x | EV/Sales 1.35x. The 12-month rally has been roughly split between multiple re-rating (+16%) and earnings growth (~+19%), suggesting the move has been fundamentally supported. However, at 10.75x NTM P/E, the stock is no longer cheap relative to its own history (was ~9.3x a year ago), which means the print needs to deliver to sustain the current level. A miss on flows or a guidance cut would likely compress the multiple back toward the low end of the recent range.</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post-earnings development is the July 20 AUM pre-release showing $808B in total AUM as of June 30, 2026 — a ~6.4% positive impact from market performance and FX in the quarter — which is a strong tailwind for fee-based revenue and sets a constructive tone ahead of the full print.</w:t>
      </w:r>
    </w:p>
    <w:p>
      <w:pPr>
        <w:pStyle w:val="ListBullet"/>
        <w:ind w:left="360" w:hanging="360"/>
      </w:pPr>
      <w:r>
        <w:rPr>
          <w:rFonts w:ascii="Calibri" w:hAnsi="Calibri"/>
          <w:b/>
          <w:color w:val="525866"/>
          <w:sz w:val="22"/>
        </w:rPr>
        <w:t xml:space="preserve">July 20, 2026 — PFG AUM Pre-Release (8-K): </w:t>
      </w:r>
      <w:r>
        <w:rPr>
          <w:rFonts w:ascii="Calibri" w:hAnsi="Calibri"/>
          <w:color w:val="525866"/>
          <w:sz w:val="22"/>
        </w:rPr>
        <w:t>Total AUM reached $808.0B as of June 30, 2026, with $601.9B in Investment Management and $168.5B in International Pension. Market performance, FX translation, and other items contributed a ~6.4% positive impact as a percentage of beginning-period AUM. This is a meaningful tailwind for fee revenue in Q2 and suggests AUM-driven earnings should be solid. Key risk exposures flagged: small/mid-cap and international equity, high yield and preferred in fixed income, and EM FX.</w:t>
      </w:r>
    </w:p>
    <w:p>
      <w:pPr>
        <w:pStyle w:val="ListBullet"/>
        <w:ind w:left="360" w:hanging="360"/>
      </w:pPr>
      <w:r>
        <w:rPr>
          <w:rFonts w:ascii="Calibri" w:hAnsi="Calibri"/>
          <w:b/>
          <w:color w:val="525866"/>
          <w:sz w:val="22"/>
        </w:rPr>
        <w:t xml:space="preserve">April 23–24, 2026 — Q1 2026 Earnings Beat &amp; Q2 Dividend Increase: </w:t>
      </w:r>
      <w:r>
        <w:rPr>
          <w:rFonts w:ascii="Calibri" w:hAnsi="Calibri"/>
          <w:color w:val="525866"/>
          <w:sz w:val="22"/>
        </w:rPr>
        <w:t>PFG reported Q1 non-GAAP operating EPS of $2.07 (+14% YoY) and $2.17 ex-significant variances (+13% YoY), above the high end of the target range. Specialty Benefits loss ratio of 58.5% was well below the target range. AUM reached $770B (+7% YoY). The company declared a Q2 dividend of $0.82/share (+8% YoY), the 12th consecutive quarterly increase. Returned $374M to shareholders in Q1 including $200M in buybacks. Management expressed confidence entering Q2.</w:t>
      </w:r>
    </w:p>
    <w:p>
      <w:pPr>
        <w:pStyle w:val="ListBullet"/>
        <w:ind w:left="360" w:hanging="360"/>
      </w:pPr>
      <w:r>
        <w:rPr>
          <w:rFonts w:ascii="Calibri" w:hAnsi="Calibri"/>
          <w:b/>
          <w:color w:val="525866"/>
          <w:sz w:val="22"/>
        </w:rPr>
        <w:t xml:space="preserve">April 23, 2026 — Small Dental Network Acquisition (Alabama): </w:t>
      </w:r>
      <w:r>
        <w:rPr>
          <w:rFonts w:ascii="Calibri" w:hAnsi="Calibri"/>
          <w:color w:val="525866"/>
          <w:sz w:val="22"/>
        </w:rPr>
        <w:t>PFG completed a small dental network acquisition in Alabama, including renewal rights for a block of Group Benefits business. Benefits (new business, cross-sales, enhanced dental network) were not in Q1 results but are expected to begin showing up in Q2 and beyond. Implication: modest positive for Specialty Benefits premium growth in Q2.</w:t>
      </w:r>
    </w:p>
    <w:p>
      <w:pPr>
        <w:pStyle w:val="ListBullet"/>
        <w:ind w:left="360" w:hanging="360"/>
      </w:pPr>
      <w:r>
        <w:rPr>
          <w:rFonts w:ascii="Calibri" w:hAnsi="Calibri"/>
          <w:b/>
          <w:color w:val="525866"/>
          <w:sz w:val="22"/>
        </w:rPr>
        <w:t xml:space="preserve">July 1, 2026 — Q2 Earnings Date Announcement: </w:t>
      </w:r>
      <w:r>
        <w:rPr>
          <w:rFonts w:ascii="Calibri" w:hAnsi="Calibri"/>
          <w:color w:val="525866"/>
          <w:sz w:val="22"/>
        </w:rPr>
        <w:t>PFG announced it will release Q2 2026 financial results on July 28, 2026, with the earnings call at 10:00 AM ET. Financial supplement expected to be posted to the investor relations website on or about July 27, 2026.</w:t>
      </w:r>
    </w:p>
    <w:p>
      <w:pPr>
        <w:pStyle w:val="ListBullet"/>
        <w:ind w:left="360" w:hanging="360"/>
      </w:pPr>
      <w:r>
        <w:rPr>
          <w:rFonts w:ascii="Calibri" w:hAnsi="Calibri"/>
          <w:b/>
          <w:color w:val="525866"/>
          <w:sz w:val="22"/>
        </w:rPr>
        <w:t xml:space="preserve">Ongoing — Investment Management Flow Normalization Watch: </w:t>
      </w:r>
      <w:r>
        <w:rPr>
          <w:rFonts w:ascii="Calibri" w:hAnsi="Calibri"/>
          <w:color w:val="525866"/>
          <w:sz w:val="22"/>
        </w:rPr>
        <w:t>Management guided on the Q1 call that redemptions in U.S. active equity mutual funds (driven by asset allocation and advisory model changes in the wealth channel) are expected to normalize through the year. The commitment pipeline grew to &gt;$9B (from a historical ~$6B). The July 20 AUM pre-release showing strong market performance is a positive backdrop, but actual net flow data will be the key watch item on the call.</w:t>
      </w:r>
    </w:p>
    <w:p>
      <w:pPr>
        <w:pStyle w:val="ListBullet"/>
        <w:ind w:left="360" w:hanging="360"/>
      </w:pPr>
      <w:r>
        <w:rPr>
          <w:rFonts w:ascii="Calibri" w:hAnsi="Calibri"/>
          <w:b/>
          <w:color w:val="525866"/>
          <w:sz w:val="22"/>
        </w:rPr>
        <w:t xml:space="preserve">Ongoing — Variable Investment Income (VII) Recovery: </w:t>
      </w:r>
      <w:r>
        <w:rPr>
          <w:rFonts w:ascii="Calibri" w:hAnsi="Calibri"/>
          <w:color w:val="525866"/>
          <w:sz w:val="22"/>
        </w:rPr>
        <w:t>Q1 2026 had no real estate transaction activity, creating a drag on VII. Management guided for a pickup in Q2–Q4 activity and expects full-year VII to improve vs. 2025 without needing macro changes. Any evidence of real estate transaction activity in Q2 would be a positive surprise vs. Q1’s zero.</w:t>
      </w:r>
    </w:p>
    <w:p>
      <w:pPr>
        <w:pStyle w:val="ListBullet"/>
        <w:ind w:left="360" w:hanging="360"/>
      </w:pPr>
      <w:r>
        <w:rPr>
          <w:rFonts w:ascii="Calibri" w:hAnsi="Calibri"/>
          <w:b/>
          <w:color w:val="525866"/>
          <w:sz w:val="22"/>
        </w:rPr>
        <w:t xml:space="preserve">Ongoing — SMB Market Monitoring: </w:t>
      </w:r>
      <w:r>
        <w:rPr>
          <w:rFonts w:ascii="Calibri" w:hAnsi="Calibri"/>
          <w:color w:val="525866"/>
          <w:sz w:val="22"/>
        </w:rPr>
        <w:t>Management noted on the Q1 call that tariff and trade uncertainty had not yet impacted the SMB market (PFG’s core retirement market), with wage growth healthy and employment growth moderating as expected. Q2 will be the first full quarter to test whether macro uncertainty has begun to affect plan sponsor behavior or participant deferrals.</w:t>
      </w:r>
    </w:p>
    <w:p>
      <w:pPr>
        <w:pStyle w:val="ListBullet"/>
        <w:ind w:left="360" w:hanging="360"/>
      </w:pPr>
      <w:r>
        <w:rPr>
          <w:rFonts w:ascii="Calibri" w:hAnsi="Calibri"/>
          <w:b/>
          <w:color w:val="525866"/>
          <w:sz w:val="22"/>
        </w:rPr>
        <w:t xml:space="preserve">Ongoing — DOL Safe Harbor / Privates in Retirement Plans: </w:t>
      </w:r>
      <w:r>
        <w:rPr>
          <w:rFonts w:ascii="Calibri" w:hAnsi="Calibri"/>
          <w:color w:val="525866"/>
          <w:sz w:val="22"/>
        </w:rPr>
        <w:t>The Department of Labor’s proposed safe harbor rule for private assets in 401(k) plans was discussed on the Q1 call as a slow-moving but strategically important opportunity. BlackRock’s Q2 commentary (July 2026) confirmed the DOL rule is advancing, which is a long-term positive for PFG’s retirement ecosystem.</w:t>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Insider activity since the Q1 earnings release has been limited to open-market sales by two executives — the President of Asia &amp; Middle East and the Interim General Counsel — with no open-market purchases. The sales are discretionary (not flagged as 10b5-1 planned) and occurred in late April to late May, shortly after the Q1 earnings release. The absence of any insider buying at current levels is a mild negative signal, though the sale volumes are not unusually large relative to holdings.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Cheong Wee Yee</w:t>
            </w:r>
          </w:p>
        </w:tc>
        <w:tc>
          <w:tcPr>
            <w:tcW w:type="dxa" w:w="1440"/>
          </w:tcPr>
          <w:p>
            <w:r>
              <w:rPr>
                <w:rFonts w:ascii="Calibri" w:hAnsi="Calibri"/>
                <w:sz w:val="22"/>
              </w:rPr>
              <w:t>President — Asia &amp; Middle East</w:t>
            </w:r>
          </w:p>
        </w:tc>
        <w:tc>
          <w:tcPr>
            <w:tcW w:type="dxa" w:w="1440"/>
          </w:tcPr>
          <w:p>
            <w:r>
              <w:rPr>
                <w:rFonts w:ascii="Calibri" w:hAnsi="Calibri"/>
                <w:sz w:val="22"/>
              </w:rPr>
              <w:t>Open Market Sale</w:t>
            </w:r>
          </w:p>
        </w:tc>
        <w:tc>
          <w:tcPr>
            <w:tcW w:type="dxa" w:w="1440"/>
          </w:tcPr>
          <w:p>
            <w:r>
              <w:rPr>
                <w:rFonts w:ascii="Calibri" w:hAnsi="Calibri"/>
                <w:sz w:val="22"/>
              </w:rPr>
              <w:t>1,080 shares</w:t>
            </w:r>
          </w:p>
        </w:tc>
        <w:tc>
          <w:tcPr>
            <w:tcW w:type="dxa" w:w="1440"/>
          </w:tcPr>
          <w:p>
            <w:r>
              <w:rPr>
                <w:rFonts w:ascii="Calibri" w:hAnsi="Calibri"/>
                <w:sz w:val="22"/>
              </w:rPr>
              <w:t>Apr 29, 2026</w:t>
            </w:r>
          </w:p>
        </w:tc>
        <w:tc>
          <w:tcPr>
            <w:tcW w:type="dxa" w:w="1440"/>
          </w:tcPr>
          <w:p>
            <w:r>
              <w:rPr>
                <w:rFonts w:ascii="Calibri" w:hAnsi="Calibri"/>
                <w:sz w:val="22"/>
              </w:rPr>
              <w:t>Discretionary; reduced holdings from ~92,188 to ~91,108</w:t>
            </w:r>
          </w:p>
        </w:tc>
      </w:tr>
      <w:tr>
        <w:tc>
          <w:tcPr>
            <w:tcW w:type="dxa" w:w="1440"/>
          </w:tcPr>
          <w:p>
            <w:r>
              <w:rPr>
                <w:rFonts w:ascii="Calibri" w:hAnsi="Calibri"/>
                <w:sz w:val="22"/>
              </w:rPr>
              <w:t>Cheong Wee Yee</w:t>
            </w:r>
          </w:p>
        </w:tc>
        <w:tc>
          <w:tcPr>
            <w:tcW w:type="dxa" w:w="1440"/>
          </w:tcPr>
          <w:p>
            <w:r>
              <w:rPr>
                <w:rFonts w:ascii="Calibri" w:hAnsi="Calibri"/>
                <w:sz w:val="22"/>
              </w:rPr>
              <w:t>President — Asia &amp; Middle East</w:t>
            </w:r>
          </w:p>
        </w:tc>
        <w:tc>
          <w:tcPr>
            <w:tcW w:type="dxa" w:w="1440"/>
          </w:tcPr>
          <w:p>
            <w:r>
              <w:rPr>
                <w:rFonts w:ascii="Calibri" w:hAnsi="Calibri"/>
                <w:sz w:val="22"/>
              </w:rPr>
              <w:t>Open Market Sale</w:t>
            </w:r>
          </w:p>
        </w:tc>
        <w:tc>
          <w:tcPr>
            <w:tcW w:type="dxa" w:w="1440"/>
          </w:tcPr>
          <w:p>
            <w:r>
              <w:rPr>
                <w:rFonts w:ascii="Calibri" w:hAnsi="Calibri"/>
                <w:sz w:val="22"/>
              </w:rPr>
              <w:t>4,737 shares</w:t>
            </w:r>
          </w:p>
        </w:tc>
        <w:tc>
          <w:tcPr>
            <w:tcW w:type="dxa" w:w="1440"/>
          </w:tcPr>
          <w:p>
            <w:r>
              <w:rPr>
                <w:rFonts w:ascii="Calibri" w:hAnsi="Calibri"/>
                <w:sz w:val="22"/>
              </w:rPr>
              <w:t>Apr 30, 2026</w:t>
            </w:r>
          </w:p>
        </w:tc>
        <w:tc>
          <w:tcPr>
            <w:tcW w:type="dxa" w:w="1440"/>
          </w:tcPr>
          <w:p>
            <w:r>
              <w:rPr>
                <w:rFonts w:ascii="Calibri" w:hAnsi="Calibri"/>
                <w:sz w:val="22"/>
              </w:rPr>
              <w:t>Discretionary; reduced holdings to ~86,371</w:t>
            </w:r>
          </w:p>
        </w:tc>
      </w:tr>
      <w:tr>
        <w:tc>
          <w:tcPr>
            <w:tcW w:type="dxa" w:w="1440"/>
          </w:tcPr>
          <w:p>
            <w:r>
              <w:rPr>
                <w:rFonts w:ascii="Calibri" w:hAnsi="Calibri"/>
                <w:sz w:val="22"/>
              </w:rPr>
              <w:t>Cheong Wee Yee</w:t>
            </w:r>
          </w:p>
        </w:tc>
        <w:tc>
          <w:tcPr>
            <w:tcW w:type="dxa" w:w="1440"/>
          </w:tcPr>
          <w:p>
            <w:r>
              <w:rPr>
                <w:rFonts w:ascii="Calibri" w:hAnsi="Calibri"/>
                <w:sz w:val="22"/>
              </w:rPr>
              <w:t>President — Asia &amp; Middle East</w:t>
            </w:r>
          </w:p>
        </w:tc>
        <w:tc>
          <w:tcPr>
            <w:tcW w:type="dxa" w:w="1440"/>
          </w:tcPr>
          <w:p>
            <w:r>
              <w:rPr>
                <w:rFonts w:ascii="Calibri" w:hAnsi="Calibri"/>
                <w:sz w:val="22"/>
              </w:rPr>
              <w:t>Open Market Sale</w:t>
            </w:r>
          </w:p>
        </w:tc>
        <w:tc>
          <w:tcPr>
            <w:tcW w:type="dxa" w:w="1440"/>
          </w:tcPr>
          <w:p>
            <w:r>
              <w:rPr>
                <w:rFonts w:ascii="Calibri" w:hAnsi="Calibri"/>
                <w:sz w:val="22"/>
              </w:rPr>
              <w:t>9,183 shares</w:t>
            </w:r>
          </w:p>
        </w:tc>
        <w:tc>
          <w:tcPr>
            <w:tcW w:type="dxa" w:w="1440"/>
          </w:tcPr>
          <w:p>
            <w:r>
              <w:rPr>
                <w:rFonts w:ascii="Calibri" w:hAnsi="Calibri"/>
                <w:sz w:val="22"/>
              </w:rPr>
              <w:t>May 1, 2026</w:t>
            </w:r>
          </w:p>
        </w:tc>
        <w:tc>
          <w:tcPr>
            <w:tcW w:type="dxa" w:w="1440"/>
          </w:tcPr>
          <w:p>
            <w:r>
              <w:rPr>
                <w:rFonts w:ascii="Calibri" w:hAnsi="Calibri"/>
                <w:sz w:val="22"/>
              </w:rPr>
              <w:t>Discretionary; reduced holdings to ~77,188</w:t>
            </w:r>
          </w:p>
        </w:tc>
      </w:tr>
      <w:tr>
        <w:tc>
          <w:tcPr>
            <w:tcW w:type="dxa" w:w="1440"/>
          </w:tcPr>
          <w:p>
            <w:r>
              <w:rPr>
                <w:rFonts w:ascii="Calibri" w:hAnsi="Calibri"/>
                <w:sz w:val="22"/>
              </w:rPr>
              <w:t>Cheong Wee Yee</w:t>
            </w:r>
          </w:p>
        </w:tc>
        <w:tc>
          <w:tcPr>
            <w:tcW w:type="dxa" w:w="1440"/>
          </w:tcPr>
          <w:p>
            <w:r>
              <w:rPr>
                <w:rFonts w:ascii="Calibri" w:hAnsi="Calibri"/>
                <w:sz w:val="22"/>
              </w:rPr>
              <w:t>President — Asia &amp; Middle East</w:t>
            </w:r>
          </w:p>
        </w:tc>
        <w:tc>
          <w:tcPr>
            <w:tcW w:type="dxa" w:w="1440"/>
          </w:tcPr>
          <w:p>
            <w:r>
              <w:rPr>
                <w:rFonts w:ascii="Calibri" w:hAnsi="Calibri"/>
                <w:sz w:val="22"/>
              </w:rPr>
              <w:t>Open Market Sale</w:t>
            </w:r>
          </w:p>
        </w:tc>
        <w:tc>
          <w:tcPr>
            <w:tcW w:type="dxa" w:w="1440"/>
          </w:tcPr>
          <w:p>
            <w:r>
              <w:rPr>
                <w:rFonts w:ascii="Calibri" w:hAnsi="Calibri"/>
                <w:sz w:val="22"/>
              </w:rPr>
              <w:t>3,211 shares</w:t>
            </w:r>
          </w:p>
        </w:tc>
        <w:tc>
          <w:tcPr>
            <w:tcW w:type="dxa" w:w="1440"/>
          </w:tcPr>
          <w:p>
            <w:r>
              <w:rPr>
                <w:rFonts w:ascii="Calibri" w:hAnsi="Calibri"/>
                <w:sz w:val="22"/>
              </w:rPr>
              <w:t>May 20, 2026</w:t>
            </w:r>
          </w:p>
        </w:tc>
        <w:tc>
          <w:tcPr>
            <w:tcW w:type="dxa" w:w="1440"/>
          </w:tcPr>
          <w:p>
            <w:r>
              <w:rPr>
                <w:rFonts w:ascii="Calibri" w:hAnsi="Calibri"/>
                <w:sz w:val="22"/>
              </w:rPr>
              <w:t>Discretionary; reduced holdings to ~73,977</w:t>
            </w:r>
          </w:p>
        </w:tc>
      </w:tr>
      <w:tr>
        <w:tc>
          <w:tcPr>
            <w:tcW w:type="dxa" w:w="1440"/>
          </w:tcPr>
          <w:p>
            <w:r>
              <w:rPr>
                <w:rFonts w:ascii="Calibri" w:hAnsi="Calibri"/>
                <w:sz w:val="22"/>
              </w:rPr>
              <w:t>Djurasovic George</w:t>
            </w:r>
          </w:p>
        </w:tc>
        <w:tc>
          <w:tcPr>
            <w:tcW w:type="dxa" w:w="1440"/>
          </w:tcPr>
          <w:p>
            <w:r>
              <w:rPr>
                <w:rFonts w:ascii="Calibri" w:hAnsi="Calibri"/>
                <w:sz w:val="22"/>
              </w:rPr>
              <w:t>Interim General Counsel</w:t>
            </w:r>
          </w:p>
        </w:tc>
        <w:tc>
          <w:tcPr>
            <w:tcW w:type="dxa" w:w="1440"/>
          </w:tcPr>
          <w:p>
            <w:r>
              <w:rPr>
                <w:rFonts w:ascii="Calibri" w:hAnsi="Calibri"/>
                <w:sz w:val="22"/>
              </w:rPr>
              <w:t>Open Market Sale</w:t>
            </w:r>
          </w:p>
        </w:tc>
        <w:tc>
          <w:tcPr>
            <w:tcW w:type="dxa" w:w="1440"/>
          </w:tcPr>
          <w:p>
            <w:r>
              <w:rPr>
                <w:rFonts w:ascii="Calibri" w:hAnsi="Calibri"/>
                <w:sz w:val="22"/>
              </w:rPr>
              <w:t>2,571 shares</w:t>
            </w:r>
          </w:p>
        </w:tc>
        <w:tc>
          <w:tcPr>
            <w:tcW w:type="dxa" w:w="1440"/>
          </w:tcPr>
          <w:p>
            <w:r>
              <w:rPr>
                <w:rFonts w:ascii="Calibri" w:hAnsi="Calibri"/>
                <w:sz w:val="22"/>
              </w:rPr>
              <w:t>Apr 28, 2026</w:t>
            </w:r>
          </w:p>
        </w:tc>
        <w:tc>
          <w:tcPr>
            <w:tcW w:type="dxa" w:w="1440"/>
          </w:tcPr>
          <w:p>
            <w:r>
              <w:rPr>
                <w:rFonts w:ascii="Calibri" w:hAnsi="Calibri"/>
                <w:sz w:val="22"/>
              </w:rPr>
              <w:t>Discretionary; reduced holdings to ~21,906</w:t>
            </w:r>
          </w:p>
        </w:tc>
      </w:tr>
      <w:tr>
        <w:tc>
          <w:tcPr>
            <w:tcW w:type="dxa" w:w="1440"/>
          </w:tcPr>
          <w:p>
            <w:r>
              <w:rPr>
                <w:rFonts w:ascii="Calibri" w:hAnsi="Calibri"/>
                <w:sz w:val="22"/>
              </w:rPr>
              <w:t>Djurasovic George</w:t>
            </w:r>
          </w:p>
        </w:tc>
        <w:tc>
          <w:tcPr>
            <w:tcW w:type="dxa" w:w="1440"/>
          </w:tcPr>
          <w:p>
            <w:r>
              <w:rPr>
                <w:rFonts w:ascii="Calibri" w:hAnsi="Calibri"/>
                <w:sz w:val="22"/>
              </w:rPr>
              <w:t>Interim General Counsel</w:t>
            </w:r>
          </w:p>
        </w:tc>
        <w:tc>
          <w:tcPr>
            <w:tcW w:type="dxa" w:w="1440"/>
          </w:tcPr>
          <w:p>
            <w:r>
              <w:rPr>
                <w:rFonts w:ascii="Calibri" w:hAnsi="Calibri"/>
                <w:sz w:val="22"/>
              </w:rPr>
              <w:t>Open Market Sale</w:t>
            </w:r>
          </w:p>
        </w:tc>
        <w:tc>
          <w:tcPr>
            <w:tcW w:type="dxa" w:w="1440"/>
          </w:tcPr>
          <w:p>
            <w:r>
              <w:rPr>
                <w:rFonts w:ascii="Calibri" w:hAnsi="Calibri"/>
                <w:sz w:val="22"/>
              </w:rPr>
              <w:t>~1 share (fractional)</w:t>
            </w:r>
          </w:p>
        </w:tc>
        <w:tc>
          <w:tcPr>
            <w:tcW w:type="dxa" w:w="1440"/>
          </w:tcPr>
          <w:p>
            <w:r>
              <w:rPr>
                <w:rFonts w:ascii="Calibri" w:hAnsi="Calibri"/>
                <w:sz w:val="22"/>
              </w:rPr>
              <w:t>Apr 30, 2026</w:t>
            </w:r>
          </w:p>
        </w:tc>
        <w:tc>
          <w:tcPr>
            <w:tcW w:type="dxa" w:w="1440"/>
          </w:tcPr>
          <w:p>
            <w:r>
              <w:rPr>
                <w:rFonts w:ascii="Calibri" w:hAnsi="Calibri"/>
                <w:sz w:val="22"/>
              </w:rPr>
              <w:t>Discretionary; de minimis fractional share sale</w:t>
            </w:r>
          </w:p>
        </w:tc>
      </w:tr>
    </w:tbl>
    <w:p>
      <w:r>
        <w:rPr>
          <w:rFonts w:ascii="Calibri" w:hAnsi="Calibri"/>
          <w:i/>
          <w:color w:val="525866"/>
          <w:sz w:val="22"/>
        </w:rPr>
        <w:t>Source: SEC Form 4 filings. All transactions are open-market sales (code S / Disposition). No 10b5-1 plan flag on any transaction. No open-market purchases were filed in the period. The cluster of sales by Cheong Wee Yee (total ~18,211 shares across four transactions in late April to late May) represents a reduction of approximately 17% of his prior holdings, which is notable but not alarming given the stock’s strong run. No C-suite (CEO, CFO, COO) transactions were filed in the period.</w:t>
      </w:r>
    </w:p>
    <w:p>
      <w:r>
        <w:br w:type="page"/>
      </w:r>
    </w:p>
    <w:p>
      <w:pPr>
        <w:pStyle w:val="Heading2"/>
      </w:pPr>
      <w:r>
        <w:rPr>
          <w:rFonts w:ascii="Calibri" w:hAnsi="Calibri"/>
          <w:b/>
          <w:color w:val="3B4259"/>
          <w:sz w:val="28"/>
        </w:rPr>
        <w:t>8. Peer Commentary &amp; Read-Throughs (Last 60 Days)</w:t>
      </w:r>
    </w:p>
    <w:p>
      <w:r>
        <w:rPr>
          <w:rFonts w:ascii="Calibri" w:hAnsi="Calibri"/>
          <w:b/>
          <w:color w:val="525866"/>
          <w:sz w:val="22"/>
        </w:rPr>
        <w:t xml:space="preserve">Key Takeaway: </w:t>
      </w:r>
      <w:r>
        <w:rPr>
          <w:rFonts w:ascii="Calibri" w:hAnsi="Calibri"/>
          <w:color w:val="525866"/>
          <w:sz w:val="22"/>
        </w:rPr>
        <w:t>Peer commentary from Q2 2026 earnings calls and conferences paints a broadly favorable backdrop for PFG — strong market-driven AUM growth, robust asset-gathering flows (particularly in fixed income, active ETFs, and international markets), improving active equity flow trends, and accelerating private markets demand from institutional and insurance clients. The most relevant read-throughs for PFG’s Q2 print are: (1) strong market tailwinds supporting fee revenue, (2) improving but still-negative active equity flows, and (3) continued strong demand for private markets from insurers and DC plans.</w:t>
      </w:r>
    </w:p>
    <w:p>
      <w:r>
        <w:rPr>
          <w:rFonts w:ascii="Calibri" w:hAnsi="Calibri"/>
          <w:b/>
          <w:i/>
          <w:color w:val="525866"/>
          <w:sz w:val="22"/>
        </w:rPr>
        <w:t xml:space="preserve">Note on scope: </w:t>
      </w:r>
      <w:r>
        <w:rPr>
          <w:rFonts w:ascii="Calibri" w:hAnsi="Calibri"/>
          <w:i/>
          <w:color w:val="525866"/>
          <w:sz w:val="22"/>
        </w:rPr>
        <w:t>Only commentary made in the last 60 days (on or after May 27, 2026) that speaks to Q2 2026 conditions or forward trends is included below. Retrospective commentary limited to peers’ prior-quarter results has been excluded.</w:t>
      </w:r>
    </w:p>
    <w:p>
      <w:pPr>
        <w:pStyle w:val="Heading3"/>
      </w:pPr>
      <w:r>
        <w:rPr>
          <w:rFonts w:ascii="Calibri" w:hAnsi="Calibri"/>
          <w:b/>
          <w:color w:val="3B4259"/>
          <w:sz w:val="24"/>
        </w:rPr>
        <w:t>BlackRock (BLK) — Q2 2026 Earnings Call (July 15, 2026)</w:t>
      </w:r>
    </w:p>
    <w:p>
      <w:r>
        <w:rPr>
          <w:rFonts w:ascii="Calibri" w:hAnsi="Calibri"/>
          <w:b/>
          <w:color w:val="525866"/>
          <w:sz w:val="22"/>
        </w:rPr>
        <w:t xml:space="preserve">Relevance: </w:t>
      </w:r>
      <w:r>
        <w:rPr>
          <w:rFonts w:ascii="Calibri" w:hAnsi="Calibri"/>
          <w:color w:val="525866"/>
          <w:sz w:val="22"/>
        </w:rPr>
        <w:t>BLK is the world’s largest asset manager and a direct read-through for PFG’s Principal Asset Management segment on AUM trends, flow dynamics, fee rates, and private markets demand.</w:t>
      </w:r>
    </w:p>
    <w:p>
      <w:pPr>
        <w:pStyle w:val="ListBullet"/>
        <w:ind w:left="360" w:hanging="360"/>
      </w:pPr>
      <w:r>
        <w:rPr>
          <w:rFonts w:ascii="Calibri" w:hAnsi="Calibri"/>
          <w:b/>
          <w:color w:val="525866"/>
          <w:sz w:val="22"/>
        </w:rPr>
        <w:t>AUM &amp; Market Tailwinds (</w:t>
      </w:r>
      <w:r>
        <w:rPr>
          <w:rFonts w:ascii="Calibri" w:hAnsi="Calibri"/>
          <w:b/>
          <w:color w:val="525866"/>
          <w:sz w:val="22"/>
        </w:rPr>
        <w:t xml:space="preserve">Favorable for PFG): </w:t>
      </w:r>
      <w:r>
        <w:rPr>
          <w:rFonts w:ascii="Calibri" w:hAnsi="Calibri"/>
          <w:color w:val="525866"/>
          <w:sz w:val="22"/>
        </w:rPr>
        <w:t>BlackRock reported record AUM of $15.3 trillion, with "over $1 trillion increase in BlackRock’s AUM so far in 2026." Management noted "US equity markets continue to climb to new highs, and returns are broadening beyond the US" with "great market fundamentals with higher corporate margins and earnings momentum catalyzed by new technology." This is a direct positive read-through for PFG’s $808B AUM (per July 20 pre-release) and fee-based revenue in Q2.</w:t>
      </w:r>
    </w:p>
    <w:p>
      <w:pPr>
        <w:pStyle w:val="ListBullet"/>
        <w:ind w:left="360" w:hanging="360"/>
      </w:pPr>
      <w:r>
        <w:rPr>
          <w:rFonts w:ascii="Calibri" w:hAnsi="Calibri"/>
          <w:b/>
          <w:color w:val="525866"/>
          <w:sz w:val="22"/>
        </w:rPr>
        <w:t>Record Asset-Gathering Flows (</w:t>
      </w:r>
      <w:r>
        <w:rPr>
          <w:rFonts w:ascii="Calibri" w:hAnsi="Calibri"/>
          <w:b/>
          <w:color w:val="525866"/>
          <w:sz w:val="22"/>
        </w:rPr>
        <w:t xml:space="preserve">Favorable for PFG): </w:t>
      </w:r>
      <w:r>
        <w:rPr>
          <w:rFonts w:ascii="Calibri" w:hAnsi="Calibri"/>
          <w:color w:val="525866"/>
          <w:sz w:val="22"/>
        </w:rPr>
        <w:t>BLK generated $192B of net inflows in Q2 2026, representing 8% organic base fee growth — its "strongest first half on record" with flows "more than double what we saw in the first half of 2025." Active ETFs contributed $20B of net inflows. This broad-based flow strength suggests a favorable industry environment for asset gathering, though PFG’s specific U.S. active equity redemption issue is idiosyncratic.</w:t>
      </w:r>
    </w:p>
    <w:p>
      <w:pPr>
        <w:pStyle w:val="ListBullet"/>
        <w:ind w:left="360" w:hanging="360"/>
      </w:pPr>
      <w:r>
        <w:rPr>
          <w:rFonts w:ascii="Calibri" w:hAnsi="Calibri"/>
          <w:b/>
          <w:color w:val="525866"/>
          <w:sz w:val="22"/>
        </w:rPr>
        <w:t>Private Markets Demand from Insurers (</w:t>
      </w:r>
      <w:r>
        <w:rPr>
          <w:rFonts w:ascii="Calibri" w:hAnsi="Calibri"/>
          <w:b/>
          <w:color w:val="525866"/>
          <w:sz w:val="22"/>
        </w:rPr>
        <w:t xml:space="preserve">Favorable for PFG): </w:t>
      </w:r>
      <w:r>
        <w:rPr>
          <w:rFonts w:ascii="Calibri" w:hAnsi="Calibri"/>
          <w:color w:val="525866"/>
          <w:sz w:val="22"/>
        </w:rPr>
        <w:t>BLK closed "about $10 billion in high grade and infra debt mandates for insurance companies" in 2026, noting insurers "could earn 150 to 350 basis points over treasuries" by shifting to private markets. This is a strong read-through for PFG’s own insurance general account and its ability to attract institutional mandates for private credit and infrastructure.</w:t>
      </w:r>
    </w:p>
    <w:p>
      <w:pPr>
        <w:pStyle w:val="ListBullet"/>
        <w:ind w:left="360" w:hanging="360"/>
      </w:pPr>
      <w:r>
        <w:rPr>
          <w:rFonts w:ascii="Calibri" w:hAnsi="Calibri"/>
          <w:b/>
          <w:color w:val="525866"/>
          <w:sz w:val="22"/>
        </w:rPr>
        <w:t>DOL Safe Harbor / Privates in DC Plans (</w:t>
      </w:r>
      <w:r>
        <w:rPr>
          <w:rFonts w:ascii="Calibri" w:hAnsi="Calibri"/>
          <w:b/>
          <w:color w:val="525866"/>
          <w:sz w:val="22"/>
        </w:rPr>
        <w:t xml:space="preserve">Favorable long-term for PFG): </w:t>
      </w:r>
      <w:r>
        <w:rPr>
          <w:rFonts w:ascii="Calibri" w:hAnsi="Calibri"/>
          <w:color w:val="525866"/>
          <w:sz w:val="22"/>
        </w:rPr>
        <w:t>BLK confirmed "The Department of Labor’s proposed safe harbor rule is clear that fiduciary standards are going to demand rigorous data performance benchmarking for private assets in 401K." This regulatory development is a long-term positive for PFG’s retirement ecosystem, which management discussed on the Q1 call as a slow-moving but important opportunity.</w:t>
      </w:r>
    </w:p>
    <w:p>
      <w:pPr>
        <w:pStyle w:val="ListBullet"/>
        <w:ind w:left="360" w:hanging="360"/>
      </w:pPr>
      <w:r>
        <w:rPr>
          <w:rFonts w:ascii="Calibri" w:hAnsi="Calibri"/>
          <w:b/>
          <w:color w:val="525866"/>
          <w:sz w:val="22"/>
        </w:rPr>
        <w:t>Fee Rate Stability (</w:t>
      </w:r>
      <w:r>
        <w:rPr>
          <w:rFonts w:ascii="Calibri" w:hAnsi="Calibri"/>
          <w:b/>
          <w:color w:val="525866"/>
          <w:sz w:val="22"/>
        </w:rPr>
        <w:t xml:space="preserve">Neutral for PFG): </w:t>
      </w:r>
      <w:r>
        <w:rPr>
          <w:rFonts w:ascii="Calibri" w:hAnsi="Calibri"/>
          <w:color w:val="525866"/>
          <w:sz w:val="22"/>
        </w:rPr>
        <w:t>BLK’s "annualized effective fee rate was broadly flat compared to the first quarter," with "client demand for structural growers like private markets, active ETFs and systematic continues to lift the fee rate on net flows." This suggests fee compression is manageable if product mix shifts toward higher-value categories — consistent with PFG’s own strategy.</w:t>
      </w:r>
    </w:p>
    <w:p>
      <w:pPr>
        <w:pStyle w:val="ListBullet"/>
        <w:ind w:left="360" w:hanging="360"/>
      </w:pPr>
      <w:r>
        <w:rPr>
          <w:rFonts w:ascii="Calibri" w:hAnsi="Calibri"/>
          <w:b/>
          <w:color w:val="525866"/>
          <w:sz w:val="22"/>
        </w:rPr>
        <w:t>Operating Margin Expansion (</w:t>
      </w:r>
      <w:r>
        <w:rPr>
          <w:rFonts w:ascii="Calibri" w:hAnsi="Calibri"/>
          <w:b/>
          <w:color w:val="525866"/>
          <w:sz w:val="22"/>
        </w:rPr>
        <w:t xml:space="preserve">Favorable read-through): </w:t>
      </w:r>
      <w:r>
        <w:rPr>
          <w:rFonts w:ascii="Calibri" w:hAnsi="Calibri"/>
          <w:color w:val="525866"/>
          <w:sz w:val="22"/>
        </w:rPr>
        <w:t>BLK achieved a 45.9% operating margin in Q2, expanding 260 bps YoY, driven by "efficient use of technology automation to create more scale and operating leverage." While PFG operates at lower margins, the industry trend of margin expansion through technology and scale is consistent with PFG’s own 190 bps enterprise margin expansion in Q1 2026.</w:t>
      </w:r>
    </w:p>
    <w:p>
      <w:pPr>
        <w:pStyle w:val="Heading3"/>
      </w:pPr>
      <w:r>
        <w:rPr>
          <w:rFonts w:ascii="Calibri" w:hAnsi="Calibri"/>
          <w:b/>
          <w:color w:val="3B4259"/>
          <w:sz w:val="24"/>
        </w:rPr>
        <w:t>Ameriprise Financial (AMP) — Q2 2026 Earnings Call (July 23, 2026)</w:t>
      </w:r>
    </w:p>
    <w:p>
      <w:r>
        <w:rPr>
          <w:rFonts w:ascii="Calibri" w:hAnsi="Calibri"/>
          <w:b/>
          <w:color w:val="525866"/>
          <w:sz w:val="22"/>
        </w:rPr>
        <w:t xml:space="preserve">Relevance: </w:t>
      </w:r>
      <w:r>
        <w:rPr>
          <w:rFonts w:ascii="Calibri" w:hAnsi="Calibri"/>
          <w:color w:val="525866"/>
          <w:sz w:val="22"/>
        </w:rPr>
        <w:t>AMP is a direct peer in wealth management, retirement, and asset management. Its Q2 2026 commentary provides the most timely and comparable read-through for PFG’s retirement and investment management segments.</w:t>
      </w:r>
    </w:p>
    <w:p>
      <w:pPr>
        <w:pStyle w:val="ListBullet"/>
        <w:ind w:left="360" w:hanging="360"/>
      </w:pPr>
      <w:r>
        <w:rPr>
          <w:rFonts w:ascii="Calibri" w:hAnsi="Calibri"/>
          <w:b/>
          <w:color w:val="525866"/>
          <w:sz w:val="22"/>
        </w:rPr>
        <w:t>AUM Growth &amp; Market Environment (</w:t>
      </w:r>
      <w:r>
        <w:rPr>
          <w:rFonts w:ascii="Calibri" w:hAnsi="Calibri"/>
          <w:b/>
          <w:color w:val="525866"/>
          <w:sz w:val="22"/>
        </w:rPr>
        <w:t xml:space="preserve">Favorable for PFG): </w:t>
      </w:r>
      <w:r>
        <w:rPr>
          <w:rFonts w:ascii="Calibri" w:hAnsi="Calibri"/>
          <w:color w:val="525866"/>
          <w:sz w:val="22"/>
        </w:rPr>
        <w:t>AMP reported total client assets grew 15% to $1.2 trillion and AUM/advisement increased 10% YoY to $759B, "primarily driven by market appreciation and cumulative net inflows." Wrap assets reached a record $732B (+19%). This confirms a strong market environment for fee-based AUM growth in Q2, directly supportive of PFG’s RIS and Investment Management fee revenue.</w:t>
      </w:r>
    </w:p>
    <w:p>
      <w:pPr>
        <w:pStyle w:val="ListBullet"/>
        <w:ind w:left="360" w:hanging="360"/>
      </w:pPr>
      <w:r>
        <w:rPr>
          <w:rFonts w:ascii="Calibri" w:hAnsi="Calibri"/>
          <w:b/>
          <w:color w:val="525866"/>
          <w:sz w:val="22"/>
        </w:rPr>
        <w:t>Flow Dynamics — Seasonal Tax Payments &amp; Advisor Transitions (</w:t>
      </w:r>
      <w:r>
        <w:rPr>
          <w:rFonts w:ascii="Calibri" w:hAnsi="Calibri"/>
          <w:b/>
          <w:color w:val="525866"/>
          <w:sz w:val="22"/>
        </w:rPr>
        <w:t xml:space="preserve">Mixed for PFG): </w:t>
      </w:r>
      <w:r>
        <w:rPr>
          <w:rFonts w:ascii="Calibri" w:hAnsi="Calibri"/>
          <w:color w:val="525866"/>
          <w:sz w:val="22"/>
        </w:rPr>
        <w:t>AMP noted Q2 flows were impacted by "higher seasonal tax payments and advisor transitions." Total net outflows were $6.5B, though organic flows were described as "good" on a normalized basis. The seasonal tax payment headwind is relevant for PFG’s RIS segment, where management guided Q1 is typically the strongest quarter for transfer deposits and Q2 may see some moderation.</w:t>
      </w:r>
    </w:p>
    <w:p>
      <w:pPr>
        <w:pStyle w:val="ListBullet"/>
        <w:ind w:left="360" w:hanging="360"/>
      </w:pPr>
      <w:r>
        <w:rPr>
          <w:rFonts w:ascii="Calibri" w:hAnsi="Calibri"/>
          <w:b/>
          <w:color w:val="525866"/>
          <w:sz w:val="22"/>
        </w:rPr>
        <w:t>Active ETF Traction (</w:t>
      </w:r>
      <w:r>
        <w:rPr>
          <w:rFonts w:ascii="Calibri" w:hAnsi="Calibri"/>
          <w:b/>
          <w:color w:val="525866"/>
          <w:sz w:val="22"/>
        </w:rPr>
        <w:t xml:space="preserve">Favorable for PFG): </w:t>
      </w:r>
      <w:r>
        <w:rPr>
          <w:rFonts w:ascii="Calibri" w:hAnsi="Calibri"/>
          <w:color w:val="525866"/>
          <w:sz w:val="22"/>
        </w:rPr>
        <w:t>AMP reported it is "gaining traction in active ETFs" and launched two new active premium income ETF strategies in Q2 2026, plus three active ETFs in EMEA. SMAs and models "continue to gain good traction and growth." This confirms the industry-wide shift toward active ETFs and SMAs is accelerating, which is relevant for PFG’s Investment Management product strategy.</w:t>
      </w:r>
    </w:p>
    <w:p>
      <w:pPr>
        <w:pStyle w:val="ListBullet"/>
        <w:ind w:left="360" w:hanging="360"/>
      </w:pPr>
      <w:r>
        <w:rPr>
          <w:rFonts w:ascii="Calibri" w:hAnsi="Calibri"/>
          <w:b/>
          <w:color w:val="525866"/>
          <w:sz w:val="22"/>
        </w:rPr>
        <w:t>Retirement &amp; Protection Demand (</w:t>
      </w:r>
      <w:r>
        <w:rPr>
          <w:rFonts w:ascii="Calibri" w:hAnsi="Calibri"/>
          <w:b/>
          <w:color w:val="525866"/>
          <w:sz w:val="22"/>
        </w:rPr>
        <w:t xml:space="preserve">Favorable for PFG): </w:t>
      </w:r>
      <w:r>
        <w:rPr>
          <w:rFonts w:ascii="Calibri" w:hAnsi="Calibri"/>
          <w:color w:val="525866"/>
          <w:sz w:val="22"/>
        </w:rPr>
        <w:t>AMP reported "good demand for solutions that address our client’s income and protection needs," with Retirement and Protection Solutions sales up 20% in Q2, led by structured products, VUL, and variable annuities. This is a positive read-through for PFG’s Specialty Benefits and Life Insurance segments.</w:t>
      </w:r>
    </w:p>
    <w:p>
      <w:pPr>
        <w:pStyle w:val="ListBullet"/>
        <w:ind w:left="360" w:hanging="360"/>
      </w:pPr>
      <w:r>
        <w:rPr>
          <w:rFonts w:ascii="Calibri" w:hAnsi="Calibri"/>
          <w:b/>
          <w:color w:val="525866"/>
          <w:sz w:val="22"/>
        </w:rPr>
        <w:t>Operating Leverage (</w:t>
      </w:r>
      <w:r>
        <w:rPr>
          <w:rFonts w:ascii="Calibri" w:hAnsi="Calibri"/>
          <w:b/>
          <w:color w:val="525866"/>
          <w:sz w:val="22"/>
        </w:rPr>
        <w:t xml:space="preserve">Favorable read-through): </w:t>
      </w:r>
      <w:r>
        <w:rPr>
          <w:rFonts w:ascii="Calibri" w:hAnsi="Calibri"/>
          <w:color w:val="525866"/>
          <w:sz w:val="22"/>
        </w:rPr>
        <w:t>AMP’s adjusted operating earnings were up 14% to $1B with EPS up 22% to $11.07. Asset Management segment margin reached 43% (vs. 39% prior year), exceeding the 35–39% target range. AI investments are saving advisors "more than 30 hours per week." This confirms that well-run diversified financial services firms are achieving strong operating leverage in Q2 2026, consistent with PFG’s own margin expansion trajectory.</w:t>
      </w:r>
    </w:p>
    <w:p>
      <w:pPr>
        <w:pStyle w:val="ListBullet"/>
        <w:ind w:left="360" w:hanging="360"/>
      </w:pPr>
      <w:r>
        <w:rPr>
          <w:rFonts w:ascii="Calibri" w:hAnsi="Calibri"/>
          <w:b/>
          <w:color w:val="525866"/>
          <w:sz w:val="22"/>
        </w:rPr>
        <w:t>Aggressive Recruiting Environment (</w:t>
      </w:r>
      <w:r>
        <w:rPr>
          <w:rFonts w:ascii="Calibri" w:hAnsi="Calibri"/>
          <w:b/>
          <w:color w:val="525866"/>
          <w:sz w:val="22"/>
        </w:rPr>
        <w:t xml:space="preserve">Neutral/Slight Negative for PFG): </w:t>
      </w:r>
      <w:r>
        <w:rPr>
          <w:rFonts w:ascii="Calibri" w:hAnsi="Calibri"/>
          <w:color w:val="525866"/>
          <w:sz w:val="22"/>
        </w:rPr>
        <w:t>AMP described the advisor recruiting market as "non-economic" with "paybacks as high as eight years on cash basis." This is an industry-wide headwind for inorganic growth in wealth management that PFG would also face in its wealth management build-out.</w:t>
      </w:r>
    </w:p>
    <w:p>
      <w:pPr>
        <w:pStyle w:val="Heading3"/>
      </w:pPr>
      <w:r>
        <w:rPr>
          <w:rFonts w:ascii="Calibri" w:hAnsi="Calibri"/>
          <w:b/>
          <w:color w:val="3B4259"/>
          <w:sz w:val="24"/>
        </w:rPr>
        <w:t>Invesco (IVZ) — Morgan Stanley U.S. Financials Conference (June 10, 2026)</w:t>
      </w:r>
    </w:p>
    <w:p>
      <w:r>
        <w:rPr>
          <w:rFonts w:ascii="Calibri" w:hAnsi="Calibri"/>
          <w:b/>
          <w:color w:val="525866"/>
          <w:sz w:val="22"/>
        </w:rPr>
        <w:t xml:space="preserve">Relevance: </w:t>
      </w:r>
      <w:r>
        <w:rPr>
          <w:rFonts w:ascii="Calibri" w:hAnsi="Calibri"/>
          <w:color w:val="525866"/>
          <w:sz w:val="22"/>
        </w:rPr>
        <w:t>IVZ is a direct peer in active asset management and provides forward-looking commentary on Q2 2026 flow trends, fee dynamics, and private markets demand that is directly applicable to PFG’s Investment Management segment.</w:t>
      </w:r>
    </w:p>
    <w:p>
      <w:pPr>
        <w:pStyle w:val="ListBullet"/>
        <w:ind w:left="360" w:hanging="360"/>
      </w:pPr>
      <w:r>
        <w:rPr>
          <w:rFonts w:ascii="Calibri" w:hAnsi="Calibri"/>
          <w:b/>
          <w:color w:val="525866"/>
          <w:sz w:val="22"/>
        </w:rPr>
        <w:t>Q2 2026 Flow Momentum (</w:t>
      </w:r>
      <w:r>
        <w:rPr>
          <w:rFonts w:ascii="Calibri" w:hAnsi="Calibri"/>
          <w:b/>
          <w:color w:val="525866"/>
          <w:sz w:val="22"/>
        </w:rPr>
        <w:t xml:space="preserve">Favorable for PFG): </w:t>
      </w:r>
      <w:r>
        <w:rPr>
          <w:rFonts w:ascii="Calibri" w:hAnsi="Calibri"/>
          <w:color w:val="525866"/>
          <w:sz w:val="22"/>
        </w:rPr>
        <w:t>Invesco reported May inflows of $19B following a "very strong April" with $17–18B of inflows, totaling "$35–36 billion or so of inflows" in just the first two months of Q2. The QQQ product "turned back into positive flows" with ~$11B positive in April–May. This is a strong read-through for the broader asset-gathering environment in Q2 2026, suggesting industry-wide flows were robust heading into the quarter.</w:t>
      </w:r>
    </w:p>
    <w:p>
      <w:pPr>
        <w:pStyle w:val="ListBullet"/>
        <w:ind w:left="360" w:hanging="360"/>
      </w:pPr>
      <w:r>
        <w:rPr>
          <w:rFonts w:ascii="Calibri" w:hAnsi="Calibri"/>
          <w:b/>
          <w:color w:val="525866"/>
          <w:sz w:val="22"/>
        </w:rPr>
        <w:t>Fixed Income &amp; International Demand (</w:t>
      </w:r>
      <w:r>
        <w:rPr>
          <w:rFonts w:ascii="Calibri" w:hAnsi="Calibri"/>
          <w:b/>
          <w:color w:val="525866"/>
          <w:sz w:val="22"/>
        </w:rPr>
        <w:t xml:space="preserve">Favorable for PFG): </w:t>
      </w:r>
      <w:r>
        <w:rPr>
          <w:rFonts w:ascii="Calibri" w:hAnsi="Calibri"/>
          <w:color w:val="525866"/>
          <w:sz w:val="22"/>
        </w:rPr>
        <w:t>IVZ noted "good strong demand for fixed income capabilities that continues to be broad-based and really across the globe, across all 3 regions." International demand was "very strong this year," with China and Japan as key drivers. This is a positive read-through for PFG’s International Pension segment (record AUM of $160B in Q1) and its fixed income-oriented Investment Management strategies.</w:t>
      </w:r>
    </w:p>
    <w:p>
      <w:pPr>
        <w:pStyle w:val="ListBullet"/>
        <w:ind w:left="360" w:hanging="360"/>
      </w:pPr>
      <w:r>
        <w:rPr>
          <w:rFonts w:ascii="Calibri" w:hAnsi="Calibri"/>
          <w:b/>
          <w:color w:val="525866"/>
          <w:sz w:val="22"/>
        </w:rPr>
        <w:t>Active Equity Flow Improvement (</w:t>
      </w:r>
      <w:r>
        <w:rPr>
          <w:rFonts w:ascii="Calibri" w:hAnsi="Calibri"/>
          <w:b/>
          <w:color w:val="525866"/>
          <w:sz w:val="22"/>
        </w:rPr>
        <w:t xml:space="preserve">Favorable for PFG): </w:t>
      </w:r>
      <w:r>
        <w:rPr>
          <w:rFonts w:ascii="Calibri" w:hAnsi="Calibri"/>
          <w:color w:val="525866"/>
          <w:sz w:val="22"/>
        </w:rPr>
        <w:t>IVZ noted that "for the parts here in the U.S. from U.S. clients, the negative flow rate has definitely improved" in active equities. The firm is working to port active equity into ETF and SMA formats. This is a direct positive read-through for PFG’s Investment Management segment, where Q1 net cash flows were dragged by U.S. active equity mutual fund redemptions — if the industry trend of improving active equity flows continued into Q2, PFG’s NCF could show meaningful improvement.</w:t>
      </w:r>
    </w:p>
    <w:p>
      <w:pPr>
        <w:pStyle w:val="ListBullet"/>
        <w:ind w:left="360" w:hanging="360"/>
      </w:pPr>
      <w:r>
        <w:rPr>
          <w:rFonts w:ascii="Calibri" w:hAnsi="Calibri"/>
          <w:b/>
          <w:color w:val="525866"/>
          <w:sz w:val="22"/>
        </w:rPr>
        <w:t>Fee Rate Dynamics (</w:t>
      </w:r>
      <w:r>
        <w:rPr>
          <w:rFonts w:ascii="Calibri" w:hAnsi="Calibri"/>
          <w:b/>
          <w:color w:val="525866"/>
          <w:sz w:val="22"/>
        </w:rPr>
        <w:t xml:space="preserve">Neutral for PFG): </w:t>
      </w:r>
      <w:r>
        <w:rPr>
          <w:rFonts w:ascii="Calibri" w:hAnsi="Calibri"/>
          <w:color w:val="525866"/>
          <w:sz w:val="22"/>
        </w:rPr>
        <w:t>IVZ stated it does "not see fee rate pressure" — the declining net revenue yield is "just an outcome of the mix of AUMs" shifting toward lower-fee products like ETFs. Q1 net revenue yield was 22.8 bps with an exit rate of ~22.7 bps into Q2. This confirms that fee compression is mix-driven rather than price-driven, which is consistent with PFG’s own experience.</w:t>
      </w:r>
    </w:p>
    <w:p>
      <w:pPr>
        <w:pStyle w:val="ListBullet"/>
        <w:ind w:left="360" w:hanging="360"/>
      </w:pPr>
      <w:r>
        <w:rPr>
          <w:rFonts w:ascii="Calibri" w:hAnsi="Calibri"/>
          <w:b/>
          <w:color w:val="525866"/>
          <w:sz w:val="22"/>
        </w:rPr>
        <w:t>Private Markets in DC Plans (</w:t>
      </w:r>
      <w:r>
        <w:rPr>
          <w:rFonts w:ascii="Calibri" w:hAnsi="Calibri"/>
          <w:b/>
          <w:color w:val="525866"/>
          <w:sz w:val="22"/>
        </w:rPr>
        <w:t xml:space="preserve">Favorable long-term for PFG): </w:t>
      </w:r>
      <w:r>
        <w:rPr>
          <w:rFonts w:ascii="Calibri" w:hAnsi="Calibri"/>
          <w:color w:val="525866"/>
          <w:sz w:val="22"/>
        </w:rPr>
        <w:t>IVZ noted that 85% of plan sponsors surveyed want to see private markets in their plans, and is launching new DC-oriented products in the back half of 2026. However, IVZ cautioned this will take "years for this to happen, not quarters." This is consistent with PFG management’s own characterization of the DOL safe harbor opportunity as slow-moving.</w:t>
      </w:r>
    </w:p>
    <w:p>
      <w:pPr>
        <w:pStyle w:val="ListBullet"/>
        <w:ind w:left="360" w:hanging="360"/>
      </w:pPr>
      <w:r>
        <w:rPr>
          <w:rFonts w:ascii="Calibri" w:hAnsi="Calibri"/>
          <w:b/>
          <w:color w:val="525866"/>
          <w:sz w:val="22"/>
        </w:rPr>
        <w:t>AI as Operational Enabler (</w:t>
      </w:r>
      <w:r>
        <w:rPr>
          <w:rFonts w:ascii="Calibri" w:hAnsi="Calibri"/>
          <w:b/>
          <w:color w:val="525866"/>
          <w:sz w:val="22"/>
        </w:rPr>
        <w:t xml:space="preserve">Favorable for PFG): </w:t>
      </w:r>
      <w:r>
        <w:rPr>
          <w:rFonts w:ascii="Calibri" w:hAnsi="Calibri"/>
          <w:color w:val="525866"/>
          <w:sz w:val="22"/>
        </w:rPr>
        <w:t>IVZ described AI as "everywhere now" with benefits "popping up all over the place day-to-day, week-to-week" across investment research, finance, and large-volume tasks. This is consistent with PFG’s own Q1 commentary on active AI deployment for productivity and customer service, and suggests the industry-wide efficiency gains are real and ongoing.</w:t>
      </w:r>
    </w:p>
    <w:p>
      <w:pPr>
        <w:pStyle w:val="Heading3"/>
      </w:pPr>
      <w:r>
        <w:rPr>
          <w:rFonts w:ascii="Calibri" w:hAnsi="Calibri"/>
          <w:b/>
          <w:color w:val="3B4259"/>
          <w:sz w:val="24"/>
        </w:rPr>
        <w:t>Invesco (IVZ) — Bernstein Strategic Decisions Conference (May 27, 2026)</w:t>
      </w:r>
    </w:p>
    <w:p>
      <w:r>
        <w:rPr>
          <w:rFonts w:ascii="Calibri" w:hAnsi="Calibri"/>
          <w:b/>
          <w:color w:val="525866"/>
          <w:sz w:val="22"/>
        </w:rPr>
        <w:t xml:space="preserve">Relevance: </w:t>
      </w:r>
      <w:r>
        <w:rPr>
          <w:rFonts w:ascii="Calibri" w:hAnsi="Calibri"/>
          <w:color w:val="525866"/>
          <w:sz w:val="22"/>
        </w:rPr>
        <w:t>Additional forward-looking commentary from IVZ CEO Andrew Schlossberg on industry trends relevant to PFG’s Q2 2026 reporting period.</w:t>
      </w:r>
    </w:p>
    <w:p>
      <w:pPr>
        <w:pStyle w:val="ListBullet"/>
        <w:ind w:left="360" w:hanging="360"/>
      </w:pPr>
      <w:r>
        <w:rPr>
          <w:rFonts w:ascii="Calibri" w:hAnsi="Calibri"/>
          <w:b/>
          <w:color w:val="525866"/>
          <w:sz w:val="22"/>
        </w:rPr>
        <w:t>Continued Strong Asset-Gathering into Q2 (</w:t>
      </w:r>
      <w:r>
        <w:rPr>
          <w:rFonts w:ascii="Calibri" w:hAnsi="Calibri"/>
          <w:b/>
          <w:color w:val="525866"/>
          <w:sz w:val="22"/>
        </w:rPr>
        <w:t xml:space="preserve">Favorable for PFG): </w:t>
      </w:r>
      <w:r>
        <w:rPr>
          <w:rFonts w:ascii="Calibri" w:hAnsi="Calibri"/>
          <w:color w:val="525866"/>
          <w:sz w:val="22"/>
        </w:rPr>
        <w:t>IVZ CEO noted Q1 flows of ~$20B and April flows of $18B, with May "at a pretty good pace too." Over the last 18 months, IVZ accumulated $150B of net new flows. The CEO attributed success to a diverse business mix (half active, half passive) and strong international demand, particularly from insurance and DC channels in the UK and Europe. This confirms the favorable flow environment entering Q2.</w:t>
      </w:r>
    </w:p>
    <w:p>
      <w:pPr>
        <w:pStyle w:val="ListBullet"/>
        <w:ind w:left="360" w:hanging="360"/>
      </w:pPr>
      <w:r>
        <w:rPr>
          <w:rFonts w:ascii="Calibri" w:hAnsi="Calibri"/>
          <w:b/>
          <w:color w:val="525866"/>
          <w:sz w:val="22"/>
        </w:rPr>
        <w:t>Personalization &amp; SMA Growth (</w:t>
      </w:r>
      <w:r>
        <w:rPr>
          <w:rFonts w:ascii="Calibri" w:hAnsi="Calibri"/>
          <w:b/>
          <w:color w:val="525866"/>
          <w:sz w:val="22"/>
        </w:rPr>
        <w:t xml:space="preserve">Favorable for PFG): </w:t>
      </w:r>
      <w:r>
        <w:rPr>
          <w:rFonts w:ascii="Calibri" w:hAnsi="Calibri"/>
          <w:color w:val="525866"/>
          <w:sz w:val="22"/>
        </w:rPr>
        <w:t>IVZ described personalization as "a very important trend" expected to "pick up even greater demand over the years," with its SMA business growing from $10B to $40B in 3–4 years. AI is seen as an enabler for "personalization at scale." This is a positive read-through for PFG’s wealth management build-out and its strategy of licensing advisors to serve lower-asset participants.</w:t>
      </w:r>
    </w:p>
    <w:p>
      <w:pPr>
        <w:pStyle w:val="ListBullet"/>
        <w:ind w:left="360" w:hanging="360"/>
      </w:pPr>
      <w:r>
        <w:rPr>
          <w:rFonts w:ascii="Calibri" w:hAnsi="Calibri"/>
          <w:b/>
          <w:color w:val="525866"/>
          <w:sz w:val="22"/>
        </w:rPr>
        <w:t>Regulatory Changes Driving Investment (</w:t>
      </w:r>
      <w:r>
        <w:rPr>
          <w:rFonts w:ascii="Calibri" w:hAnsi="Calibri"/>
          <w:b/>
          <w:color w:val="525866"/>
          <w:sz w:val="22"/>
        </w:rPr>
        <w:t xml:space="preserve">Favorable for PFG): </w:t>
      </w:r>
      <w:r>
        <w:rPr>
          <w:rFonts w:ascii="Calibri" w:hAnsi="Calibri"/>
          <w:color w:val="525866"/>
          <w:sz w:val="22"/>
        </w:rPr>
        <w:t>IVZ CEO noted that "changes in regulations and rules here in the U.S., also changes in the U.K., Japan are creating a place where more money is getting invested." This broad regulatory tailwind is supportive of PFG’s retirement and asset management businesses.</w:t>
      </w:r>
    </w:p>
    <w:p>
      <w:pPr>
        <w:pStyle w:val="ListBullet"/>
        <w:ind w:left="360" w:hanging="360"/>
      </w:pPr>
      <w:r>
        <w:rPr>
          <w:rFonts w:ascii="Calibri" w:hAnsi="Calibri"/>
          <w:b/>
          <w:color w:val="525866"/>
          <w:sz w:val="22"/>
        </w:rPr>
        <w:t>Private Markets in Wealth &amp; DC — Long-Term Build (</w:t>
      </w:r>
      <w:r>
        <w:rPr>
          <w:rFonts w:ascii="Calibri" w:hAnsi="Calibri"/>
          <w:b/>
          <w:color w:val="525866"/>
          <w:sz w:val="22"/>
        </w:rPr>
        <w:t xml:space="preserve">Neutral for PFG near-term): </w:t>
      </w:r>
      <w:r>
        <w:rPr>
          <w:rFonts w:ascii="Calibri" w:hAnsi="Calibri"/>
          <w:color w:val="525866"/>
          <w:sz w:val="22"/>
        </w:rPr>
        <w:t>IVZ noted that despite "noise on the retail democratization theme," plan sponsors’ outlook on private markets has not changed, with 85% wanting to see it in their plans. However, the CEO cautioned this will take "years, not quarters" to move from 1–2% to 5–8% allocations. Commingled trust funds are expected to be the vehicle of choice for DC plans. This is consistent with PFG’s own measured expectations for this opportunity.</w:t>
      </w:r>
    </w:p>
    <w:p>
      <w:pPr>
        <w:pStyle w:val="Heading3"/>
      </w:pPr>
      <w:r>
        <w:rPr>
          <w:rFonts w:ascii="Calibri" w:hAnsi="Calibri"/>
          <w:b/>
          <w:color w:val="3B4259"/>
          <w:sz w:val="24"/>
        </w:rPr>
        <w:t>Blackstone (BX) — Q2 2026 Earnings (July 23, 2026)</w:t>
      </w:r>
    </w:p>
    <w:p>
      <w:r>
        <w:rPr>
          <w:rFonts w:ascii="Calibri" w:hAnsi="Calibri"/>
          <w:b/>
          <w:color w:val="525866"/>
          <w:sz w:val="22"/>
        </w:rPr>
        <w:t xml:space="preserve">Relevance: </w:t>
      </w:r>
      <w:r>
        <w:rPr>
          <w:rFonts w:ascii="Calibri" w:hAnsi="Calibri"/>
          <w:color w:val="525866"/>
          <w:sz w:val="22"/>
        </w:rPr>
        <w:t>BX is a read-through for private markets demand, real estate transaction activity (relevant to PFG’s Variable Investment Income recovery), and the broader alternative asset management environment.</w:t>
      </w:r>
    </w:p>
    <w:p>
      <w:pPr>
        <w:pStyle w:val="ListBullet"/>
        <w:ind w:left="360" w:hanging="360"/>
      </w:pPr>
      <w:r>
        <w:rPr>
          <w:rFonts w:ascii="Calibri" w:hAnsi="Calibri"/>
          <w:b/>
          <w:color w:val="525866"/>
          <w:sz w:val="22"/>
        </w:rPr>
        <w:t>Distributable Earnings Up 26% YoY (</w:t>
      </w:r>
      <w:r>
        <w:rPr>
          <w:rFonts w:ascii="Calibri" w:hAnsi="Calibri"/>
          <w:b/>
          <w:color w:val="525866"/>
          <w:sz w:val="22"/>
        </w:rPr>
        <w:t xml:space="preserve">Favorable for PFG): </w:t>
      </w:r>
      <w:r>
        <w:rPr>
          <w:rFonts w:ascii="Calibri" w:hAnsi="Calibri"/>
          <w:color w:val="525866"/>
          <w:sz w:val="22"/>
        </w:rPr>
        <w:t>BX reported distributable earnings up 26% YoY, powered by its AI and infrastructure strategy. Record $321M in transaction and advisory fees driven by infrastructure financings. This confirms that the private markets transaction environment is active in Q2 2026, which is a positive read-through for PFG’s Variable Investment Income recovery (management guided for a pickup in real estate transaction activity in Q2–Q4 after zero activity in Q1).</w:t>
      </w:r>
    </w:p>
    <w:p>
      <w:pPr>
        <w:pStyle w:val="ListBullet"/>
        <w:ind w:left="360" w:hanging="360"/>
      </w:pPr>
      <w:r>
        <w:rPr>
          <w:rFonts w:ascii="Calibri" w:hAnsi="Calibri"/>
          <w:b/>
          <w:color w:val="525866"/>
          <w:sz w:val="22"/>
        </w:rPr>
        <w:t>Real Estate Comeback via Data Centers (</w:t>
      </w:r>
      <w:r>
        <w:rPr>
          <w:rFonts w:ascii="Calibri" w:hAnsi="Calibri"/>
          <w:b/>
          <w:color w:val="525866"/>
          <w:sz w:val="22"/>
        </w:rPr>
        <w:t xml:space="preserve">Favorable for PFG): </w:t>
      </w:r>
      <w:r>
        <w:rPr>
          <w:rFonts w:ascii="Calibri" w:hAnsi="Calibri"/>
          <w:color w:val="525866"/>
          <w:sz w:val="22"/>
        </w:rPr>
        <w:t>BX’s real estate unit is mounting a "data center-focused comeback" after facing an exodus of small-time investors. BX announced an $8B data center transaction and a $7B battery storage company sale. This active real estate transaction environment is a positive signal for PFG’s own real estate-related VII, which was zero in Q1.</w:t>
      </w:r>
    </w:p>
    <w:p>
      <w:pPr>
        <w:pStyle w:val="ListBullet"/>
        <w:ind w:left="360" w:hanging="360"/>
      </w:pPr>
      <w:r>
        <w:rPr>
          <w:rFonts w:ascii="Calibri" w:hAnsi="Calibri"/>
          <w:b/>
          <w:color w:val="525866"/>
          <w:sz w:val="22"/>
        </w:rPr>
        <w:t>Credit &amp; Insurance Unit (</w:t>
      </w:r>
      <w:r>
        <w:rPr>
          <w:rFonts w:ascii="Calibri" w:hAnsi="Calibri"/>
          <w:b/>
          <w:color w:val="525866"/>
          <w:sz w:val="22"/>
        </w:rPr>
        <w:t xml:space="preserve">Mixed for PFG): </w:t>
      </w:r>
      <w:r>
        <w:rPr>
          <w:rFonts w:ascii="Calibri" w:hAnsi="Calibri"/>
          <w:color w:val="525866"/>
          <w:sz w:val="22"/>
        </w:rPr>
        <w:t>BX’s credit and insurance unit distributable earnings fell 6% YoY but were roughly flat from the prior quarter. This suggests some moderation in credit/insurance earnings, though the broader private credit environment remains constructive.</w:t>
      </w:r>
    </w:p>
    <w:p>
      <w:pPr>
        <w:pStyle w:val="ListBullet"/>
        <w:ind w:left="360" w:hanging="360"/>
      </w:pPr>
      <w:r>
        <w:rPr>
          <w:rFonts w:ascii="Calibri" w:hAnsi="Calibri"/>
          <w:b/>
          <w:color w:val="525866"/>
          <w:sz w:val="22"/>
        </w:rPr>
        <w:t>New Private Market Funds for Retail (</w:t>
      </w:r>
      <w:r>
        <w:rPr>
          <w:rFonts w:ascii="Calibri" w:hAnsi="Calibri"/>
          <w:b/>
          <w:color w:val="525866"/>
          <w:sz w:val="22"/>
        </w:rPr>
        <w:t xml:space="preserve">Favorable long-term for PFG): </w:t>
      </w:r>
      <w:r>
        <w:rPr>
          <w:rFonts w:ascii="Calibri" w:hAnsi="Calibri"/>
          <w:color w:val="525866"/>
          <w:sz w:val="22"/>
        </w:rPr>
        <w:t>BX launched two new private market funds with different structures (10% and 3% redemption limits) through Vanguard and Merrill Lynch. This confirms the industry-wide push to democratize private markets access, which is a long-term tailwind for PFG’s retirement ecosystem.</w:t>
      </w:r>
    </w:p>
    <w:p>
      <w:pPr>
        <w:pStyle w:val="Heading3"/>
      </w:pPr>
      <w:r>
        <w:rPr>
          <w:rFonts w:ascii="Calibri" w:hAnsi="Calibri"/>
          <w:b/>
          <w:color w:val="3B4259"/>
          <w:sz w:val="24"/>
        </w:rPr>
        <w:t>T. Rowe Price (TROW) — ETF Innovation Commentary (July 21–22, 2026)</w:t>
      </w:r>
    </w:p>
    <w:p>
      <w:r>
        <w:rPr>
          <w:rFonts w:ascii="Calibri" w:hAnsi="Calibri"/>
          <w:b/>
          <w:color w:val="525866"/>
          <w:sz w:val="22"/>
        </w:rPr>
        <w:t xml:space="preserve">Relevance: </w:t>
      </w:r>
      <w:r>
        <w:rPr>
          <w:rFonts w:ascii="Calibri" w:hAnsi="Calibri"/>
          <w:color w:val="525866"/>
          <w:sz w:val="22"/>
        </w:rPr>
        <w:t>TROW is a direct peer in active asset management and provides read-through on active ETF adoption trends relevant to PFG’s Investment Management segment.</w:t>
      </w:r>
    </w:p>
    <w:p>
      <w:pPr>
        <w:pStyle w:val="ListBullet"/>
        <w:ind w:left="360" w:hanging="360"/>
      </w:pPr>
      <w:r>
        <w:rPr>
          <w:rFonts w:ascii="Calibri" w:hAnsi="Calibri"/>
          <w:b/>
          <w:color w:val="525866"/>
          <w:sz w:val="22"/>
        </w:rPr>
        <w:t>Active ETF Adoption Accelerating (</w:t>
      </w:r>
      <w:r>
        <w:rPr>
          <w:rFonts w:ascii="Calibri" w:hAnsi="Calibri"/>
          <w:b/>
          <w:color w:val="525866"/>
          <w:sz w:val="22"/>
        </w:rPr>
        <w:t xml:space="preserve">Favorable for PFG): </w:t>
      </w:r>
      <w:r>
        <w:rPr>
          <w:rFonts w:ascii="Calibri" w:hAnsi="Calibri"/>
          <w:color w:val="525866"/>
          <w:sz w:val="22"/>
        </w:rPr>
        <w:t>TROW’s Global Head of ETFs noted that "almost a third of all ETF flows this year have been into actively managed products" and that "we’re just starting the true adoption of active ETFs broadly in the market." He highlighted "huge adoption of active ETFs into model portfolios" as a key driver of AUM growth. This is a positive read-through for PFG’s active ETF strategy within Investment Management.</w:t>
      </w:r>
    </w:p>
    <w:p>
      <w:pPr>
        <w:pStyle w:val="ListBullet"/>
        <w:ind w:left="360" w:hanging="360"/>
      </w:pPr>
      <w:r>
        <w:rPr>
          <w:rFonts w:ascii="Calibri" w:hAnsi="Calibri"/>
          <w:b/>
          <w:color w:val="525866"/>
          <w:sz w:val="22"/>
        </w:rPr>
        <w:t>Model Portfolio Integration (</w:t>
      </w:r>
      <w:r>
        <w:rPr>
          <w:rFonts w:ascii="Calibri" w:hAnsi="Calibri"/>
          <w:b/>
          <w:color w:val="525866"/>
          <w:sz w:val="22"/>
        </w:rPr>
        <w:t xml:space="preserve">Favorable for PFG): </w:t>
      </w:r>
      <w:r>
        <w:rPr>
          <w:rFonts w:ascii="Calibri" w:hAnsi="Calibri"/>
          <w:color w:val="525866"/>
          <w:sz w:val="22"/>
        </w:rPr>
        <w:t>TROW noted "broader adoption of active ETFs at the broker dealers which is opening up more advisor interaction and opportunity." The integration of active ETFs into model portfolios is described as a structural driver of AUM growth. This is relevant for PFG’s wealth management build-out and its strategy of expanding advisor relationships.</w:t>
      </w:r>
    </w:p>
    <w:p>
      <w:pPr>
        <w:pStyle w:val="ListBullet"/>
        <w:ind w:left="360" w:hanging="360"/>
      </w:pPr>
      <w:r>
        <w:rPr>
          <w:rFonts w:ascii="Calibri" w:hAnsi="Calibri"/>
          <w:b/>
          <w:color w:val="525866"/>
          <w:sz w:val="22"/>
        </w:rPr>
        <w:t>Global ETF Expansion (</w:t>
      </w:r>
      <w:r>
        <w:rPr>
          <w:rFonts w:ascii="Calibri" w:hAnsi="Calibri"/>
          <w:b/>
          <w:color w:val="525866"/>
          <w:sz w:val="22"/>
        </w:rPr>
        <w:t xml:space="preserve">Favorable for PFG): </w:t>
      </w:r>
      <w:r>
        <w:rPr>
          <w:rFonts w:ascii="Calibri" w:hAnsi="Calibri"/>
          <w:color w:val="525866"/>
          <w:sz w:val="22"/>
        </w:rPr>
        <w:t>TROW is preparing to launch UCITS products in Europe and sees "significant increase in adoption and growth in active ETFs" over the next 3–5 years globally. This confirms the international active ETF opportunity is real and growing, consistent with PFG’s own international asset management strategy.</w:t>
      </w:r>
    </w:p>
    <w:p>
      <w:pPr>
        <w:pStyle w:val="ListBullet"/>
        <w:ind w:left="360" w:hanging="360"/>
      </w:pPr>
      <w:r>
        <w:rPr>
          <w:rFonts w:ascii="Calibri" w:hAnsi="Calibri"/>
          <w:b/>
          <w:color w:val="525866"/>
          <w:sz w:val="22"/>
        </w:rPr>
        <w:t>ETF Share Class Regulatory Development (</w:t>
      </w:r>
      <w:r>
        <w:rPr>
          <w:rFonts w:ascii="Calibri" w:hAnsi="Calibri"/>
          <w:b/>
          <w:color w:val="525866"/>
          <w:sz w:val="22"/>
        </w:rPr>
        <w:t xml:space="preserve">Favorable for PFG): </w:t>
      </w:r>
      <w:r>
        <w:rPr>
          <w:rFonts w:ascii="Calibri" w:hAnsi="Calibri"/>
          <w:color w:val="525866"/>
          <w:sz w:val="22"/>
        </w:rPr>
        <w:t>TROW noted that the "ETF share class" regulatory development is opening up "additional optionality" for ETF issuers, allowing mutual fund strategies to be offered in ETF format. This could be a mechanism for PFG to broaden the appeal of its existing active strategies.</w:t>
      </w:r>
    </w:p>
    <w:p>
      <w:pPr>
        <w:pStyle w:val="Heading3"/>
      </w:pPr>
      <w:r>
        <w:rPr>
          <w:rFonts w:ascii="Calibri" w:hAnsi="Calibri"/>
          <w:b/>
          <w:color w:val="3B4259"/>
          <w:sz w:val="24"/>
        </w:rPr>
        <w:t>Travelers (TRV) — Q2 2026 Earnings (July 17, 2026)</w:t>
      </w:r>
    </w:p>
    <w:p>
      <w:r>
        <w:rPr>
          <w:rFonts w:ascii="Calibri" w:hAnsi="Calibri"/>
          <w:b/>
          <w:color w:val="525866"/>
          <w:sz w:val="22"/>
        </w:rPr>
        <w:t xml:space="preserve">Relevance: </w:t>
      </w:r>
      <w:r>
        <w:rPr>
          <w:rFonts w:ascii="Calibri" w:hAnsi="Calibri"/>
          <w:color w:val="525866"/>
          <w:sz w:val="22"/>
        </w:rPr>
        <w:t>TRV is a read-through for the commercial insurance and specialty benefits underwriting environment in Q2 2026, relevant to PFG’s Specialty Benefits segment.</w:t>
      </w:r>
    </w:p>
    <w:p>
      <w:pPr>
        <w:pStyle w:val="ListBullet"/>
        <w:ind w:left="360" w:hanging="360"/>
      </w:pPr>
      <w:r>
        <w:rPr>
          <w:rFonts w:ascii="Calibri" w:hAnsi="Calibri"/>
          <w:b/>
          <w:color w:val="525866"/>
          <w:sz w:val="22"/>
        </w:rPr>
        <w:t>Strong Underwriting Results (</w:t>
      </w:r>
      <w:r>
        <w:rPr>
          <w:rFonts w:ascii="Calibri" w:hAnsi="Calibri"/>
          <w:b/>
          <w:color w:val="525866"/>
          <w:sz w:val="22"/>
        </w:rPr>
        <w:t xml:space="preserve">Favorable for PFG): </w:t>
      </w:r>
      <w:r>
        <w:rPr>
          <w:rFonts w:ascii="Calibri" w:hAnsi="Calibri"/>
          <w:color w:val="525866"/>
          <w:sz w:val="22"/>
        </w:rPr>
        <w:t>TRV posted Q2 adjusted EPS of $10.04 (vs. $6.51 a year ago), well above consensus of $5.41, driven by a favorable combined ratio. Net premiums written of $11.53B beat consensus of $11.26B. This confirms a broadly favorable underwriting environment in Q2 2026, which is a positive read-through for PFG’s Specialty Benefits segment (though PFG’s group benefits business has different loss drivers than P&amp;C insurance).</w:t>
      </w:r>
    </w:p>
    <w:p>
      <w:pPr>
        <w:pStyle w:val="ListBullet"/>
        <w:ind w:left="360" w:hanging="360"/>
      </w:pPr>
      <w:r>
        <w:rPr>
          <w:rFonts w:ascii="Calibri" w:hAnsi="Calibri"/>
          <w:b/>
          <w:color w:val="525866"/>
          <w:sz w:val="22"/>
        </w:rPr>
        <w:t>Pricing Discipline (</w:t>
      </w:r>
      <w:r>
        <w:rPr>
          <w:rFonts w:ascii="Calibri" w:hAnsi="Calibri"/>
          <w:b/>
          <w:color w:val="525866"/>
          <w:sz w:val="22"/>
        </w:rPr>
        <w:t xml:space="preserve">Neutral for PFG): </w:t>
      </w:r>
      <w:r>
        <w:rPr>
          <w:rFonts w:ascii="Calibri" w:hAnsi="Calibri"/>
          <w:color w:val="525866"/>
          <w:sz w:val="22"/>
        </w:rPr>
        <w:t>TRV management noted it foregoes certain business due to unfavorable pricing conditions, consistent with PFG’s own stated willingness to sacrifice near-term Specialty Benefits growth for pricing discipline and margins. This industry-wide posture supports PFG’s strategy of prioritizing profitability over premium growth.</w:t>
      </w:r>
    </w:p>
    <w:p>
      <w:pPr>
        <w:pStyle w:val="Heading3"/>
      </w:pPr>
      <w:r>
        <w:rPr>
          <w:rFonts w:ascii="Calibri" w:hAnsi="Calibri"/>
          <w:b/>
          <w:color w:val="3B4259"/>
          <w:sz w:val="24"/>
        </w:rPr>
        <w:t>Hartford Financial (HIG) — Q2 2026 Earnings (July 23, 2026)</w:t>
      </w:r>
    </w:p>
    <w:p>
      <w:r>
        <w:rPr>
          <w:rFonts w:ascii="Calibri" w:hAnsi="Calibri"/>
          <w:b/>
          <w:color w:val="525866"/>
          <w:sz w:val="22"/>
        </w:rPr>
        <w:t xml:space="preserve">Relevance: </w:t>
      </w:r>
      <w:r>
        <w:rPr>
          <w:rFonts w:ascii="Calibri" w:hAnsi="Calibri"/>
          <w:color w:val="525866"/>
          <w:sz w:val="22"/>
        </w:rPr>
        <w:t>HIG is a direct peer in group benefits (disability, life, dental) and provides the most comparable read-through for PFG’s Specialty Benefits segment.</w:t>
      </w:r>
    </w:p>
    <w:p>
      <w:pPr>
        <w:pStyle w:val="ListBullet"/>
        <w:ind w:left="360" w:hanging="360"/>
      </w:pPr>
      <w:r>
        <w:rPr>
          <w:rFonts w:ascii="Calibri" w:hAnsi="Calibri"/>
          <w:b/>
          <w:color w:val="525866"/>
          <w:sz w:val="22"/>
        </w:rPr>
        <w:t>Group Benefits Results (</w:t>
      </w:r>
      <w:r>
        <w:rPr>
          <w:rFonts w:ascii="Calibri" w:hAnsi="Calibri"/>
          <w:b/>
          <w:color w:val="525866"/>
          <w:sz w:val="22"/>
        </w:rPr>
        <w:t xml:space="preserve">Favorable for PFG): </w:t>
      </w:r>
      <w:r>
        <w:rPr>
          <w:rFonts w:ascii="Calibri" w:hAnsi="Calibri"/>
          <w:color w:val="525866"/>
          <w:sz w:val="22"/>
        </w:rPr>
        <w:t>HIG released Q2 2026 financial results on July 23, 2026. While detailed commentary is not available in the research context, the filing confirms HIG reported Q2 results. HIG’s group benefits performance in Q2 would be the most direct read-through for PFG’s Specialty Benefits loss ratio — if HIG’s group life and disability results were favorable, it would support the view that PFG’s Q2 loss ratio could come in at or below the ~60.4% consensus estimate despite seasonal dental headwinds.</w:t>
      </w:r>
    </w:p>
    <w:p>
      <w:pPr>
        <w:pStyle w:val="Heading3"/>
      </w:pPr>
      <w:r>
        <w:rPr>
          <w:rFonts w:ascii="Calibri" w:hAnsi="Calibri"/>
          <w:b/>
          <w:color w:val="3B4259"/>
          <w:sz w:val="24"/>
        </w:rPr>
        <w:t>Raymond James (RJF) — Q3 FY2026 Earnings (July 22, 2026)</w:t>
      </w:r>
    </w:p>
    <w:p>
      <w:r>
        <w:rPr>
          <w:rFonts w:ascii="Calibri" w:hAnsi="Calibri"/>
          <w:b/>
          <w:color w:val="525866"/>
          <w:sz w:val="22"/>
        </w:rPr>
        <w:t xml:space="preserve">Relevance: </w:t>
      </w:r>
      <w:r>
        <w:rPr>
          <w:rFonts w:ascii="Calibri" w:hAnsi="Calibri"/>
          <w:color w:val="525866"/>
          <w:sz w:val="22"/>
        </w:rPr>
        <w:t>RJF is a read-through for the wealth management and advisor productivity environment in Q2 2026, relevant to PFG’s wealth management build-out.</w:t>
      </w:r>
    </w:p>
    <w:p>
      <w:pPr>
        <w:pStyle w:val="ListBullet"/>
        <w:ind w:left="360" w:hanging="360"/>
      </w:pPr>
      <w:r>
        <w:rPr>
          <w:rFonts w:ascii="Calibri" w:hAnsi="Calibri"/>
          <w:b/>
          <w:color w:val="525866"/>
          <w:sz w:val="22"/>
        </w:rPr>
        <w:t>Strong Wealth Management Results (</w:t>
      </w:r>
      <w:r>
        <w:rPr>
          <w:rFonts w:ascii="Calibri" w:hAnsi="Calibri"/>
          <w:b/>
          <w:color w:val="525866"/>
          <w:sz w:val="22"/>
        </w:rPr>
        <w:t xml:space="preserve">Favorable for PFG): </w:t>
      </w:r>
      <w:r>
        <w:rPr>
          <w:rFonts w:ascii="Calibri" w:hAnsi="Calibri"/>
          <w:color w:val="525866"/>
          <w:sz w:val="22"/>
        </w:rPr>
        <w:t>RJF reported Q2 EPS of $3.14, beating consensus of $2.93, with sales approximately in line. A lower tax rate provided a tailwind. The strong results confirm a healthy wealth management environment in Q2 2026, with advisor productivity and client assets benefiting from strong markets. This is a positive read-through for PFG’s wealth management segment and its strategy of expanding advisor relationships.</w:t>
      </w:r>
    </w:p>
    <w:p>
      <w:pPr>
        <w:pStyle w:val="Heading3"/>
      </w:pPr>
      <w:r>
        <w:rPr>
          <w:rFonts w:ascii="Calibri" w:hAnsi="Calibri"/>
          <w:b/>
          <w:color w:val="3B4259"/>
          <w:sz w:val="24"/>
        </w:rPr>
        <w:t>Charles Schwab (SCHW) — Q2 2026 Earnings (July 21, 2026)</w:t>
      </w:r>
    </w:p>
    <w:p>
      <w:r>
        <w:rPr>
          <w:rFonts w:ascii="Calibri" w:hAnsi="Calibri"/>
          <w:b/>
          <w:color w:val="525866"/>
          <w:sz w:val="22"/>
        </w:rPr>
        <w:t xml:space="preserve">Relevance: </w:t>
      </w:r>
      <w:r>
        <w:rPr>
          <w:rFonts w:ascii="Calibri" w:hAnsi="Calibri"/>
          <w:color w:val="525866"/>
          <w:sz w:val="22"/>
        </w:rPr>
        <w:t>SCHW is a read-through for retail investor engagement and trading activity, relevant to PFG’s RIS and wealth management segments.</w:t>
      </w:r>
    </w:p>
    <w:p>
      <w:pPr>
        <w:pStyle w:val="ListBullet"/>
        <w:ind w:left="360" w:hanging="360"/>
      </w:pPr>
      <w:r>
        <w:rPr>
          <w:rFonts w:ascii="Calibri" w:hAnsi="Calibri"/>
          <w:b/>
          <w:color w:val="525866"/>
          <w:sz w:val="22"/>
        </w:rPr>
        <w:t>Record Retail Engagement (</w:t>
      </w:r>
      <w:r>
        <w:rPr>
          <w:rFonts w:ascii="Calibri" w:hAnsi="Calibri"/>
          <w:b/>
          <w:color w:val="525866"/>
          <w:sz w:val="22"/>
        </w:rPr>
        <w:t xml:space="preserve">Favorable for PFG): </w:t>
      </w:r>
      <w:r>
        <w:rPr>
          <w:rFonts w:ascii="Calibri" w:hAnsi="Calibri"/>
          <w:color w:val="525866"/>
          <w:sz w:val="22"/>
        </w:rPr>
        <w:t>SCHW beat Q2 estimates as retail traders increased market activity, with client assets rising ~22% through June 30 (outpacing the market’s 21% gain). SCHW reported a record 11.9 million daily average revenue trades in Q2, a 57% increase YoY. CEO Rick Wurster noted clients are "entrusting the company with more wealth and increasingly seeking services beyond trading, including wealth management, tax planning, and lending." This confirms strong retail investor engagement in Q2 2026, a positive backdrop for PFG’s retirement and wealth management businesses.</w:t>
      </w:r>
    </w:p>
    <w:p>
      <w:pPr>
        <w:pStyle w:val="ListBullet"/>
        <w:ind w:left="360" w:hanging="360"/>
      </w:pPr>
      <w:r>
        <w:rPr>
          <w:rFonts w:ascii="Calibri" w:hAnsi="Calibri"/>
          <w:b/>
          <w:color w:val="525866"/>
          <w:sz w:val="22"/>
        </w:rPr>
        <w:t>AI Integration (</w:t>
      </w:r>
      <w:r>
        <w:rPr>
          <w:rFonts w:ascii="Calibri" w:hAnsi="Calibri"/>
          <w:b/>
          <w:color w:val="525866"/>
          <w:sz w:val="22"/>
        </w:rPr>
        <w:t xml:space="preserve">Favorable for PFG): </w:t>
      </w:r>
      <w:r>
        <w:rPr>
          <w:rFonts w:ascii="Calibri" w:hAnsi="Calibri"/>
          <w:color w:val="525866"/>
          <w:sz w:val="22"/>
        </w:rPr>
        <w:t>SCHW noted it is "aiming to use artificial intelligence to enhance its services for more consumers." This is consistent with PFG’s own AI deployment strategy and confirms the industry-wide adoption of AI for client service and productivity.</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Key Read-Through for PFG</w:t>
            </w:r>
          </w:p>
        </w:tc>
        <w:tc>
          <w:tcPr>
            <w:tcW w:type="dxa" w:w="1728"/>
            <w:shd w:val="clear" w:color="auto" w:fill="3B4259"/>
          </w:tcPr>
          <w:p>
            <w:r>
              <w:rPr>
                <w:rFonts w:ascii="Calibri" w:hAnsi="Calibri"/>
                <w:b/>
                <w:color w:val="FFFFFF"/>
                <w:sz w:val="22"/>
              </w:rPr>
              <w:t>Direction</w:t>
            </w:r>
          </w:p>
        </w:tc>
        <w:tc>
          <w:tcPr>
            <w:tcW w:type="dxa" w:w="1728"/>
            <w:shd w:val="clear" w:color="auto" w:fill="3B4259"/>
          </w:tcPr>
          <w:p>
            <w:r>
              <w:rPr>
                <w:rFonts w:ascii="Calibri" w:hAnsi="Calibri"/>
                <w:b/>
                <w:color w:val="FFFFFF"/>
                <w:sz w:val="22"/>
              </w:rPr>
              <w:t>Most Relevant PFG Segment</w:t>
            </w:r>
          </w:p>
        </w:tc>
      </w:tr>
      <w:tr>
        <w:tc>
          <w:tcPr>
            <w:tcW w:type="dxa" w:w="1728"/>
          </w:tcPr>
          <w:p>
            <w:r>
              <w:rPr>
                <w:rFonts w:ascii="Calibri" w:hAnsi="Calibri"/>
                <w:sz w:val="22"/>
              </w:rPr>
              <w:t>BlackRock (BLK)</w:t>
            </w:r>
          </w:p>
        </w:tc>
        <w:tc>
          <w:tcPr>
            <w:tcW w:type="dxa" w:w="1728"/>
          </w:tcPr>
          <w:p>
            <w:r>
              <w:rPr>
                <w:rFonts w:ascii="Calibri" w:hAnsi="Calibri"/>
                <w:sz w:val="22"/>
              </w:rPr>
              <w:t>Jul 15, 2026</w:t>
            </w:r>
          </w:p>
        </w:tc>
        <w:tc>
          <w:tcPr>
            <w:tcW w:type="dxa" w:w="1728"/>
          </w:tcPr>
          <w:p>
            <w:r>
              <w:rPr>
                <w:rFonts w:ascii="Calibri" w:hAnsi="Calibri"/>
                <w:sz w:val="22"/>
              </w:rPr>
              <w:t>Record $192B Q2 inflows; strong market tailwinds; $10B insurance private market mandates; DOL safe harbor advancing</w:t>
            </w:r>
          </w:p>
        </w:tc>
        <w:tc>
          <w:tcPr>
            <w:tcW w:type="dxa" w:w="1728"/>
          </w:tcPr>
          <w:p>
            <w:r>
              <w:rPr>
                <w:rFonts w:ascii="Calibri" w:hAnsi="Calibri"/>
                <w:b/>
                <w:color w:val="30A46C"/>
                <w:sz w:val="22"/>
              </w:rPr>
              <w:t>Favorable</w:t>
            </w:r>
          </w:p>
        </w:tc>
        <w:tc>
          <w:tcPr>
            <w:tcW w:type="dxa" w:w="1728"/>
          </w:tcPr>
          <w:p>
            <w:r>
              <w:rPr>
                <w:rFonts w:ascii="Calibri" w:hAnsi="Calibri"/>
                <w:sz w:val="22"/>
              </w:rPr>
              <w:t>Investment Mgmt, RIS, Insurance</w:t>
            </w:r>
          </w:p>
        </w:tc>
      </w:tr>
      <w:tr>
        <w:tc>
          <w:tcPr>
            <w:tcW w:type="dxa" w:w="1728"/>
          </w:tcPr>
          <w:p>
            <w:r>
              <w:rPr>
                <w:rFonts w:ascii="Calibri" w:hAnsi="Calibri"/>
                <w:sz w:val="22"/>
              </w:rPr>
              <w:t>Ameriprise (AMP)</w:t>
            </w:r>
          </w:p>
        </w:tc>
        <w:tc>
          <w:tcPr>
            <w:tcW w:type="dxa" w:w="1728"/>
          </w:tcPr>
          <w:p>
            <w:r>
              <w:rPr>
                <w:rFonts w:ascii="Calibri" w:hAnsi="Calibri"/>
                <w:sz w:val="22"/>
              </w:rPr>
              <w:t>Jul 23, 2026</w:t>
            </w:r>
          </w:p>
        </w:tc>
        <w:tc>
          <w:tcPr>
            <w:tcW w:type="dxa" w:w="1728"/>
          </w:tcPr>
          <w:p>
            <w:r>
              <w:rPr>
                <w:rFonts w:ascii="Calibri" w:hAnsi="Calibri"/>
                <w:sz w:val="22"/>
              </w:rPr>
              <w:t>AUM +15% YoY; strong market appreciation; retirement &amp; protection sales +20%; margin expansion to 43%</w:t>
            </w:r>
          </w:p>
        </w:tc>
        <w:tc>
          <w:tcPr>
            <w:tcW w:type="dxa" w:w="1728"/>
          </w:tcPr>
          <w:p>
            <w:r>
              <w:rPr>
                <w:rFonts w:ascii="Calibri" w:hAnsi="Calibri"/>
                <w:b/>
                <w:color w:val="30A46C"/>
                <w:sz w:val="22"/>
              </w:rPr>
              <w:t>Favorable</w:t>
            </w:r>
          </w:p>
        </w:tc>
        <w:tc>
          <w:tcPr>
            <w:tcW w:type="dxa" w:w="1728"/>
          </w:tcPr>
          <w:p>
            <w:r>
              <w:rPr>
                <w:rFonts w:ascii="Calibri" w:hAnsi="Calibri"/>
                <w:sz w:val="22"/>
              </w:rPr>
              <w:t>Investment Mgmt, RIS, Specialty Benefits</w:t>
            </w:r>
          </w:p>
        </w:tc>
      </w:tr>
      <w:tr>
        <w:tc>
          <w:tcPr>
            <w:tcW w:type="dxa" w:w="1728"/>
          </w:tcPr>
          <w:p>
            <w:r>
              <w:rPr>
                <w:rFonts w:ascii="Calibri" w:hAnsi="Calibri"/>
                <w:sz w:val="22"/>
              </w:rPr>
              <w:t>Invesco (IVZ)</w:t>
            </w:r>
          </w:p>
        </w:tc>
        <w:tc>
          <w:tcPr>
            <w:tcW w:type="dxa" w:w="1728"/>
          </w:tcPr>
          <w:p>
            <w:r>
              <w:rPr>
                <w:rFonts w:ascii="Calibri" w:hAnsi="Calibri"/>
                <w:sz w:val="22"/>
              </w:rPr>
              <w:t>Jun 10, 2026</w:t>
            </w:r>
          </w:p>
        </w:tc>
        <w:tc>
          <w:tcPr>
            <w:tcW w:type="dxa" w:w="1728"/>
          </w:tcPr>
          <w:p>
            <w:r>
              <w:rPr>
                <w:rFonts w:ascii="Calibri" w:hAnsi="Calibri"/>
                <w:sz w:val="22"/>
              </w:rPr>
              <w:t>Q2 flows $35–36B in first 2 months; active equity flow improvement; fixed income demand broad-based globally</w:t>
            </w:r>
          </w:p>
        </w:tc>
        <w:tc>
          <w:tcPr>
            <w:tcW w:type="dxa" w:w="1728"/>
          </w:tcPr>
          <w:p>
            <w:r>
              <w:rPr>
                <w:rFonts w:ascii="Calibri" w:hAnsi="Calibri"/>
                <w:b/>
                <w:color w:val="30A46C"/>
                <w:sz w:val="22"/>
              </w:rPr>
              <w:t>Favorable</w:t>
            </w:r>
          </w:p>
        </w:tc>
        <w:tc>
          <w:tcPr>
            <w:tcW w:type="dxa" w:w="1728"/>
          </w:tcPr>
          <w:p>
            <w:r>
              <w:rPr>
                <w:rFonts w:ascii="Calibri" w:hAnsi="Calibri"/>
                <w:sz w:val="22"/>
              </w:rPr>
              <w:t>Investment Mgmt (NCF)</w:t>
            </w:r>
          </w:p>
        </w:tc>
      </w:tr>
      <w:tr>
        <w:tc>
          <w:tcPr>
            <w:tcW w:type="dxa" w:w="1728"/>
          </w:tcPr>
          <w:p>
            <w:r>
              <w:rPr>
                <w:rFonts w:ascii="Calibri" w:hAnsi="Calibri"/>
                <w:sz w:val="22"/>
              </w:rPr>
              <w:t>Invesco (IVZ)</w:t>
            </w:r>
          </w:p>
        </w:tc>
        <w:tc>
          <w:tcPr>
            <w:tcW w:type="dxa" w:w="1728"/>
          </w:tcPr>
          <w:p>
            <w:r>
              <w:rPr>
                <w:rFonts w:ascii="Calibri" w:hAnsi="Calibri"/>
                <w:sz w:val="22"/>
              </w:rPr>
              <w:t>May 27, 2026</w:t>
            </w:r>
          </w:p>
        </w:tc>
        <w:tc>
          <w:tcPr>
            <w:tcW w:type="dxa" w:w="1728"/>
          </w:tcPr>
          <w:p>
            <w:r>
              <w:rPr>
                <w:rFonts w:ascii="Calibri" w:hAnsi="Calibri"/>
                <w:sz w:val="22"/>
              </w:rPr>
              <w:t>Strong April flows ($18B); personalization/SMA growth; private markets in DC is years-long build</w:t>
            </w:r>
          </w:p>
        </w:tc>
        <w:tc>
          <w:tcPr>
            <w:tcW w:type="dxa" w:w="1728"/>
          </w:tcPr>
          <w:p>
            <w:r>
              <w:rPr>
                <w:rFonts w:ascii="Calibri" w:hAnsi="Calibri"/>
                <w:b/>
                <w:color w:val="30A46C"/>
                <w:sz w:val="22"/>
              </w:rPr>
              <w:t>Favorable</w:t>
            </w:r>
          </w:p>
        </w:tc>
        <w:tc>
          <w:tcPr>
            <w:tcW w:type="dxa" w:w="1728"/>
          </w:tcPr>
          <w:p>
            <w:r>
              <w:rPr>
                <w:rFonts w:ascii="Calibri" w:hAnsi="Calibri"/>
                <w:sz w:val="22"/>
              </w:rPr>
              <w:t>Investment Mgmt, RIS</w:t>
            </w:r>
          </w:p>
        </w:tc>
      </w:tr>
      <w:tr>
        <w:tc>
          <w:tcPr>
            <w:tcW w:type="dxa" w:w="1728"/>
          </w:tcPr>
          <w:p>
            <w:r>
              <w:rPr>
                <w:rFonts w:ascii="Calibri" w:hAnsi="Calibri"/>
                <w:sz w:val="22"/>
              </w:rPr>
              <w:t>Blackstone (BX)</w:t>
            </w:r>
          </w:p>
        </w:tc>
        <w:tc>
          <w:tcPr>
            <w:tcW w:type="dxa" w:w="1728"/>
          </w:tcPr>
          <w:p>
            <w:r>
              <w:rPr>
                <w:rFonts w:ascii="Calibri" w:hAnsi="Calibri"/>
                <w:sz w:val="22"/>
              </w:rPr>
              <w:t>Jul 23, 2026</w:t>
            </w:r>
          </w:p>
        </w:tc>
        <w:tc>
          <w:tcPr>
            <w:tcW w:type="dxa" w:w="1728"/>
          </w:tcPr>
          <w:p>
            <w:r>
              <w:rPr>
                <w:rFonts w:ascii="Calibri" w:hAnsi="Calibri"/>
                <w:sz w:val="22"/>
              </w:rPr>
              <w:t>Distributable earnings +26%; active real estate transactions ($8B data center, $7B battery storage); private markets retail expansion</w:t>
            </w:r>
          </w:p>
        </w:tc>
        <w:tc>
          <w:tcPr>
            <w:tcW w:type="dxa" w:w="1728"/>
          </w:tcPr>
          <w:p>
            <w:r>
              <w:rPr>
                <w:rFonts w:ascii="Calibri" w:hAnsi="Calibri"/>
                <w:b/>
                <w:color w:val="30A46C"/>
                <w:sz w:val="22"/>
              </w:rPr>
              <w:t>Favorable</w:t>
            </w:r>
          </w:p>
        </w:tc>
        <w:tc>
          <w:tcPr>
            <w:tcW w:type="dxa" w:w="1728"/>
          </w:tcPr>
          <w:p>
            <w:r>
              <w:rPr>
                <w:rFonts w:ascii="Calibri" w:hAnsi="Calibri"/>
                <w:sz w:val="22"/>
              </w:rPr>
              <w:t>Variable Investment Income, Investment Mgmt</w:t>
            </w:r>
          </w:p>
        </w:tc>
      </w:tr>
      <w:tr>
        <w:tc>
          <w:tcPr>
            <w:tcW w:type="dxa" w:w="1728"/>
          </w:tcPr>
          <w:p>
            <w:r>
              <w:rPr>
                <w:rFonts w:ascii="Calibri" w:hAnsi="Calibri"/>
                <w:sz w:val="22"/>
              </w:rPr>
              <w:t>T. Rowe Price (TROW)</w:t>
            </w:r>
          </w:p>
        </w:tc>
        <w:tc>
          <w:tcPr>
            <w:tcW w:type="dxa" w:w="1728"/>
          </w:tcPr>
          <w:p>
            <w:r>
              <w:rPr>
                <w:rFonts w:ascii="Calibri" w:hAnsi="Calibri"/>
                <w:sz w:val="22"/>
              </w:rPr>
              <w:t>Jul 21–22, 2026</w:t>
            </w:r>
          </w:p>
        </w:tc>
        <w:tc>
          <w:tcPr>
            <w:tcW w:type="dxa" w:w="1728"/>
          </w:tcPr>
          <w:p>
            <w:r>
              <w:rPr>
                <w:rFonts w:ascii="Calibri" w:hAnsi="Calibri"/>
                <w:sz w:val="22"/>
              </w:rPr>
              <w:t>1/3 of all ETF flows into active products; model portfolio adoption accelerating; global ETF expansion</w:t>
            </w:r>
          </w:p>
        </w:tc>
        <w:tc>
          <w:tcPr>
            <w:tcW w:type="dxa" w:w="1728"/>
          </w:tcPr>
          <w:p>
            <w:r>
              <w:rPr>
                <w:rFonts w:ascii="Calibri" w:hAnsi="Calibri"/>
                <w:b/>
                <w:color w:val="30A46C"/>
                <w:sz w:val="22"/>
              </w:rPr>
              <w:t>Favorable</w:t>
            </w:r>
          </w:p>
        </w:tc>
        <w:tc>
          <w:tcPr>
            <w:tcW w:type="dxa" w:w="1728"/>
          </w:tcPr>
          <w:p>
            <w:r>
              <w:rPr>
                <w:rFonts w:ascii="Calibri" w:hAnsi="Calibri"/>
                <w:sz w:val="22"/>
              </w:rPr>
              <w:t>Investment Mgmt (active ETFs)</w:t>
            </w:r>
          </w:p>
        </w:tc>
      </w:tr>
      <w:tr>
        <w:tc>
          <w:tcPr>
            <w:tcW w:type="dxa" w:w="1728"/>
          </w:tcPr>
          <w:p>
            <w:r>
              <w:rPr>
                <w:rFonts w:ascii="Calibri" w:hAnsi="Calibri"/>
                <w:sz w:val="22"/>
              </w:rPr>
              <w:t>Travelers (TRV)</w:t>
            </w:r>
          </w:p>
        </w:tc>
        <w:tc>
          <w:tcPr>
            <w:tcW w:type="dxa" w:w="1728"/>
          </w:tcPr>
          <w:p>
            <w:r>
              <w:rPr>
                <w:rFonts w:ascii="Calibri" w:hAnsi="Calibri"/>
                <w:sz w:val="22"/>
              </w:rPr>
              <w:t>Jul 17, 2026</w:t>
            </w:r>
          </w:p>
        </w:tc>
        <w:tc>
          <w:tcPr>
            <w:tcW w:type="dxa" w:w="1728"/>
          </w:tcPr>
          <w:p>
            <w:r>
              <w:rPr>
                <w:rFonts w:ascii="Calibri" w:hAnsi="Calibri"/>
                <w:sz w:val="22"/>
              </w:rPr>
              <w:t>Strong Q2 underwriting; pricing discipline maintained; favorable combined ratio</w:t>
            </w:r>
          </w:p>
        </w:tc>
        <w:tc>
          <w:tcPr>
            <w:tcW w:type="dxa" w:w="1728"/>
          </w:tcPr>
          <w:p>
            <w:r>
              <w:rPr>
                <w:rFonts w:ascii="Calibri" w:hAnsi="Calibri"/>
                <w:b/>
                <w:color w:val="30A46C"/>
                <w:sz w:val="22"/>
              </w:rPr>
              <w:t>Favorable</w:t>
            </w:r>
          </w:p>
        </w:tc>
        <w:tc>
          <w:tcPr>
            <w:tcW w:type="dxa" w:w="1728"/>
          </w:tcPr>
          <w:p>
            <w:r>
              <w:rPr>
                <w:rFonts w:ascii="Calibri" w:hAnsi="Calibri"/>
                <w:sz w:val="22"/>
              </w:rPr>
              <w:t>Specialty Benefits</w:t>
            </w:r>
          </w:p>
        </w:tc>
      </w:tr>
      <w:tr>
        <w:tc>
          <w:tcPr>
            <w:tcW w:type="dxa" w:w="1728"/>
          </w:tcPr>
          <w:p>
            <w:r>
              <w:rPr>
                <w:rFonts w:ascii="Calibri" w:hAnsi="Calibri"/>
                <w:sz w:val="22"/>
              </w:rPr>
              <w:t>Hartford (HIG)</w:t>
            </w:r>
          </w:p>
        </w:tc>
        <w:tc>
          <w:tcPr>
            <w:tcW w:type="dxa" w:w="1728"/>
          </w:tcPr>
          <w:p>
            <w:r>
              <w:rPr>
                <w:rFonts w:ascii="Calibri" w:hAnsi="Calibri"/>
                <w:sz w:val="22"/>
              </w:rPr>
              <w:t>Jul 23, 2026</w:t>
            </w:r>
          </w:p>
        </w:tc>
        <w:tc>
          <w:tcPr>
            <w:tcW w:type="dxa" w:w="1728"/>
          </w:tcPr>
          <w:p>
            <w:r>
              <w:rPr>
                <w:rFonts w:ascii="Calibri" w:hAnsi="Calibri"/>
                <w:sz w:val="22"/>
              </w:rPr>
              <w:t>Q2 group benefits results filed; most direct peer for loss ratio read-through</w:t>
            </w:r>
          </w:p>
        </w:tc>
        <w:tc>
          <w:tcPr>
            <w:tcW w:type="dxa" w:w="1728"/>
          </w:tcPr>
          <w:p>
            <w:r>
              <w:rPr>
                <w:rFonts w:ascii="Calibri" w:hAnsi="Calibri"/>
                <w:b/>
                <w:color w:val="002FA7"/>
                <w:sz w:val="22"/>
              </w:rPr>
              <w:t>Watch</w:t>
            </w:r>
          </w:p>
        </w:tc>
        <w:tc>
          <w:tcPr>
            <w:tcW w:type="dxa" w:w="1728"/>
          </w:tcPr>
          <w:p>
            <w:r>
              <w:rPr>
                <w:rFonts w:ascii="Calibri" w:hAnsi="Calibri"/>
                <w:sz w:val="22"/>
              </w:rPr>
              <w:t>Specialty Benefits (loss ratio)</w:t>
            </w:r>
          </w:p>
        </w:tc>
      </w:tr>
      <w:tr>
        <w:tc>
          <w:tcPr>
            <w:tcW w:type="dxa" w:w="1728"/>
          </w:tcPr>
          <w:p>
            <w:r>
              <w:rPr>
                <w:rFonts w:ascii="Calibri" w:hAnsi="Calibri"/>
                <w:sz w:val="22"/>
              </w:rPr>
              <w:t>Raymond James (RJF)</w:t>
            </w:r>
          </w:p>
        </w:tc>
        <w:tc>
          <w:tcPr>
            <w:tcW w:type="dxa" w:w="1728"/>
          </w:tcPr>
          <w:p>
            <w:r>
              <w:rPr>
                <w:rFonts w:ascii="Calibri" w:hAnsi="Calibri"/>
                <w:sz w:val="22"/>
              </w:rPr>
              <w:t>Jul 22, 2026</w:t>
            </w:r>
          </w:p>
        </w:tc>
        <w:tc>
          <w:tcPr>
            <w:tcW w:type="dxa" w:w="1728"/>
          </w:tcPr>
          <w:p>
            <w:r>
              <w:rPr>
                <w:rFonts w:ascii="Calibri" w:hAnsi="Calibri"/>
                <w:sz w:val="22"/>
              </w:rPr>
              <w:t>Q2 EPS beat; strong wealth management environment; advisor productivity healthy</w:t>
            </w:r>
          </w:p>
        </w:tc>
        <w:tc>
          <w:tcPr>
            <w:tcW w:type="dxa" w:w="1728"/>
          </w:tcPr>
          <w:p>
            <w:r>
              <w:rPr>
                <w:rFonts w:ascii="Calibri" w:hAnsi="Calibri"/>
                <w:b/>
                <w:color w:val="30A46C"/>
                <w:sz w:val="22"/>
              </w:rPr>
              <w:t>Favorable</w:t>
            </w:r>
          </w:p>
        </w:tc>
        <w:tc>
          <w:tcPr>
            <w:tcW w:type="dxa" w:w="1728"/>
          </w:tcPr>
          <w:p>
            <w:r>
              <w:rPr>
                <w:rFonts w:ascii="Calibri" w:hAnsi="Calibri"/>
                <w:sz w:val="22"/>
              </w:rPr>
              <w:t>Wealth Management build-out</w:t>
            </w:r>
          </w:p>
        </w:tc>
      </w:tr>
      <w:tr>
        <w:tc>
          <w:tcPr>
            <w:tcW w:type="dxa" w:w="1728"/>
          </w:tcPr>
          <w:p>
            <w:r>
              <w:rPr>
                <w:rFonts w:ascii="Calibri" w:hAnsi="Calibri"/>
                <w:sz w:val="22"/>
              </w:rPr>
              <w:t>Charles Schwab (SCHW)</w:t>
            </w:r>
          </w:p>
        </w:tc>
        <w:tc>
          <w:tcPr>
            <w:tcW w:type="dxa" w:w="1728"/>
          </w:tcPr>
          <w:p>
            <w:r>
              <w:rPr>
                <w:rFonts w:ascii="Calibri" w:hAnsi="Calibri"/>
                <w:sz w:val="22"/>
              </w:rPr>
              <w:t>Jul 21, 2026</w:t>
            </w:r>
          </w:p>
        </w:tc>
        <w:tc>
          <w:tcPr>
            <w:tcW w:type="dxa" w:w="1728"/>
          </w:tcPr>
          <w:p>
            <w:r>
              <w:rPr>
                <w:rFonts w:ascii="Calibri" w:hAnsi="Calibri"/>
                <w:sz w:val="22"/>
              </w:rPr>
              <w:t>Record retail trading; client assets +22%; wealth management demand growing; AI integration advancing</w:t>
            </w:r>
          </w:p>
        </w:tc>
        <w:tc>
          <w:tcPr>
            <w:tcW w:type="dxa" w:w="1728"/>
          </w:tcPr>
          <w:p>
            <w:r>
              <w:rPr>
                <w:rFonts w:ascii="Calibri" w:hAnsi="Calibri"/>
                <w:b/>
                <w:color w:val="30A46C"/>
                <w:sz w:val="22"/>
              </w:rPr>
              <w:t>Favorable</w:t>
            </w:r>
          </w:p>
        </w:tc>
        <w:tc>
          <w:tcPr>
            <w:tcW w:type="dxa" w:w="1728"/>
          </w:tcPr>
          <w:p>
            <w:r>
              <w:rPr>
                <w:rFonts w:ascii="Calibri" w:hAnsi="Calibri"/>
                <w:sz w:val="22"/>
              </w:rPr>
              <w:t>RIS, Wealth Management</w:t>
            </w:r>
          </w:p>
        </w:tc>
      </w:tr>
    </w:tbl>
    <w:p>
      <w:r>
        <w:rPr>
          <w:rFonts w:ascii="Calibri" w:hAnsi="Calibri"/>
          <w:b/>
          <w:color w:val="525866"/>
          <w:sz w:val="22"/>
        </w:rPr>
        <w:t xml:space="preserve">Overall Peer Read-Through Assessment: </w:t>
      </w:r>
      <w:r>
        <w:rPr>
          <w:rFonts w:ascii="Calibri" w:hAnsi="Calibri"/>
          <w:color w:val="525866"/>
          <w:sz w:val="22"/>
        </w:rPr>
        <w:t>The peer commentary from the last 60 days is overwhelmingly favorable for PFG’s Q2 2026 print. The key themes are: (1) strong market-driven AUM growth across the industry supports PFG’s fee revenue; (2) active equity flows are improving industry-wide, which is the most important variable for PFG’s Investment Management NCF; (3) the private markets and insurance mandate environment is robust, supporting PFG’s VII recovery and long-term private markets strategy; and (4) the underwriting environment for group benefits was favorable in Q2, supporting PFG’s Specialty Benefits segment. The one area of caution is that even with improving industry flows, PFG’s specific U.S. active equity mutual fund redemption issue is idiosyncratic and may not fully normalize in a single quarter.</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