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PulteGroup (PHM) before writing the preview. Let me gather recent filings, earnings materials, and market context.Let me read PHM's most recent earnings materials and check its 10-Q/guidance and stock performance.I have enough to write a well-grounded preview. Let me quickly compute a couple of stock-performance stats to frame the setup.Here is the earnings preview.</w:t>
      </w:r>
    </w:p>
    <w:bookmarkStart w:id="16" w:name="pultegroup-phm--q2-2026-earnings-preview"/>
    <w:p>
      <w:pPr>
        <w:pStyle w:val="Heading1"/>
      </w:pPr>
      <w:r>
        <w:t xml:space="preserve">PulteGroup (PHM) — Q2 2026 Earnings Preview</w:t>
      </w:r>
    </w:p>
    <w:bookmarkStart w:id="9" w:name="X21a6b17c48f0701406aa25e7107b8a9fa4fd981"/>
    <w:p>
      <w:pPr>
        <w:pStyle w:val="Heading3"/>
      </w:pPr>
      <w:r>
        <w:t xml:space="preserve">Reports before the open, Wednesday July 22, 2026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PulteGroup goes into Q2 as the "quality compounder" of the homebuilders — a net-cash balance sheet, disciplined starts, and a deliberate pivot back toward build-to-order — but the print itself is set up to be the</w:t>
      </w:r>
      <w:r>
        <w:t xml:space="preserve"> </w:t>
      </w:r>
      <w:r>
        <w:rPr>
          <w:b/>
          <w:bCs/>
        </w:rPr>
        <w:t xml:space="preserve">trough quarter for margins in 2026</w:t>
      </w:r>
      <w:r>
        <w:t xml:space="preserve">. Management already flagged Q2 as the low point on gross margin, so the debate isn't really about the quarter; it's about whether the back-half recovery thesis (richer mix + cleared spec) is still intact and whether the spring demand that held up better than feared carried into summer.</w:t>
      </w:r>
    </w:p>
    <w:bookmarkEnd w:id="10"/>
    <w:bookmarkStart w:id="11" w:name="what-the-street-is-looking-for"/>
    <w:p>
      <w:pPr>
        <w:pStyle w:val="Heading2"/>
      </w:pPr>
      <w:r>
        <w:t xml:space="preserve">What the Street is looking for</w:t>
      </w:r>
    </w:p>
    <w:p>
      <w:pPr>
        <w:pStyle w:val="FirstParagraph"/>
      </w:pPr>
      <w:r>
        <w:t xml:space="preserve">Based on the latest sell-side setup: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Q2'26 Consensus</w:t>
            </w:r>
          </w:p>
        </w:tc>
        <w:tc>
          <w:tcPr/>
          <w:p>
            <w:pPr>
              <w:pStyle w:val="Compact"/>
            </w:pPr>
            <w:r>
              <w:t xml:space="preserve">Q2'25 Actual</w:t>
            </w:r>
          </w:p>
        </w:tc>
        <w:tc>
          <w:tcPr/>
          <w:p>
            <w:pPr>
              <w:pStyle w:val="Compact"/>
            </w:pPr>
            <w:r>
              <w:t xml:space="preserve">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~$2.36</w:t>
            </w:r>
          </w:p>
        </w:tc>
        <w:tc>
          <w:tcPr/>
          <w:p>
            <w:pPr>
              <w:pStyle w:val="Compact"/>
            </w:pPr>
            <w:r>
              <w:t xml:space="preserve">$3.00</w:t>
            </w:r>
          </w:p>
        </w:tc>
        <w:tc>
          <w:tcPr/>
          <w:p>
            <w:pPr>
              <w:pStyle w:val="Compact"/>
            </w:pPr>
            <w:r>
              <w:t xml:space="preserve">down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~$3.9B</w:t>
            </w:r>
          </w:p>
        </w:tc>
        <w:tc>
          <w:tcPr/>
          <w:p>
            <w:pPr>
              <w:pStyle w:val="Compact"/>
            </w:pPr>
            <w:r>
              <w:t xml:space="preserve">~$4.4B</w:t>
            </w:r>
          </w:p>
        </w:tc>
        <w:tc>
          <w:tcPr/>
          <w:p>
            <w:pPr>
              <w:pStyle w:val="Compact"/>
            </w:pPr>
            <w:r>
              <w:t xml:space="preserve">~-11%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Home-sale gross margin</w:t>
            </w:r>
          </w:p>
        </w:tc>
        <w:tc>
          <w:tcPr/>
          <w:p>
            <w:pPr>
              <w:pStyle w:val="Compact"/>
            </w:pPr>
            <w:r>
              <w:t xml:space="preserve">~24.3%</w:t>
            </w:r>
          </w:p>
        </w:tc>
        <w:tc>
          <w:tcPr/>
          <w:p>
            <w:pPr>
              <w:pStyle w:val="Compact"/>
            </w:pPr>
            <w:r>
              <w:t xml:space="preserve">~27%</w:t>
            </w:r>
          </w:p>
        </w:tc>
        <w:tc>
          <w:tcPr/>
          <w:p>
            <w:pPr>
              <w:pStyle w:val="Compact"/>
            </w:pPr>
            <w:r>
              <w:t xml:space="preserve">~-270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Deliveries (units)</w:t>
            </w:r>
          </w:p>
        </w:tc>
        <w:tc>
          <w:tcPr/>
          <w:p>
            <w:pPr>
              <w:pStyle w:val="Compact"/>
            </w:pPr>
            <w:r>
              <w:t xml:space="preserve">~7,029</w:t>
            </w:r>
          </w:p>
        </w:tc>
        <w:tc>
          <w:tcPr/>
          <w:p>
            <w:pPr>
              <w:pStyle w:val="Compact"/>
            </w:pPr>
            <w:r>
              <w:t xml:space="preserve">higher</w:t>
            </w:r>
          </w:p>
        </w:tc>
        <w:tc>
          <w:tcPr/>
          <w:p>
            <w:pPr>
              <w:pStyle w:val="Compact"/>
            </w:pPr>
            <w:r>
              <w:t xml:space="preserve">down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new orders (units)</w:t>
            </w:r>
          </w:p>
        </w:tc>
        <w:tc>
          <w:tcPr/>
          <w:p>
            <w:pPr>
              <w:pStyle w:val="Compact"/>
            </w:pPr>
            <w:r>
              <w:t xml:space="preserve">~7,383</w:t>
            </w:r>
          </w:p>
        </w:tc>
        <w:tc>
          <w:tcPr/>
          <w:p>
            <w:pPr>
              <w:pStyle w:val="Compact"/>
            </w:pPr>
            <w:r>
              <w:t xml:space="preserve">~7,083</w:t>
            </w:r>
          </w:p>
        </w:tc>
        <w:tc>
          <w:tcPr/>
          <w:p>
            <w:pPr>
              <w:pStyle w:val="Compact"/>
            </w:pPr>
            <w:r>
              <w:t xml:space="preserve">+4.2%</w:t>
            </w:r>
          </w:p>
        </w:tc>
      </w:tr>
    </w:tbl>
    <w:p>
      <w:pPr>
        <w:pStyle w:val="BodyText"/>
      </w:pPr>
      <w:r>
        <w:t xml:space="preserve">The consensus figures sit neatly inside management's own Q2 guide, which is worth keeping in mind — this is a "guided-to" quarter, so reaction will hinge on order pace, incentive trajectory, and any tweak to full-year guidance rather than the headline EPS.</w:t>
      </w:r>
    </w:p>
    <w:bookmarkEnd w:id="11"/>
    <w:bookmarkStart w:id="12" w:name="X25adb9798e861a26fb40e3ec78a5ef64dfcf524"/>
    <w:p>
      <w:pPr>
        <w:pStyle w:val="Heading2"/>
      </w:pPr>
      <w:r>
        <w:t xml:space="preserve">Management's own Q2 guardrails (set on the April call)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Deliveries:</w:t>
      </w:r>
      <w:r>
        <w:t xml:space="preserve"> </w:t>
      </w:r>
      <w:r>
        <w:t xml:space="preserve">6,700–7,100 homes (consensus ~7,029 is mid-range)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Gross margin:</w:t>
      </w:r>
      <w:r>
        <w:t xml:space="preserve"> </w:t>
      </w:r>
      <w:r>
        <w:t xml:space="preserve">24.1%–24.4% — explicitly called "the low point for 2026"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ASP:</w:t>
      </w:r>
      <w:r>
        <w:t xml:space="preserve"> </w:t>
      </w:r>
      <m:oMath>
        <m:r>
          <m:t>540</m:t>
        </m:r>
        <m:r>
          <m:rPr>
            <m:sty m:val="p"/>
          </m:rPr>
          <m:t>,</m:t>
        </m:r>
        <m:r>
          <m:t>000</m:t>
        </m:r>
        <m:r>
          <m:rPr>
            <m:sty m:val="p"/>
          </m:rPr>
          <m:t>–</m:t>
        </m:r>
      </m:oMath>
      <w:r>
        <w:t xml:space="preserve">550,000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Tax rate:</w:t>
      </w:r>
      <w:r>
        <w:t xml:space="preserve"> </w:t>
      </w:r>
      <w:r>
        <w:t xml:space="preserve">~24.5%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SG&amp;A (full year):</w:t>
      </w:r>
      <w:r>
        <w:t xml:space="preserve"> </w:t>
      </w:r>
      <w:r>
        <w:t xml:space="preserve">9.5%–9.7% of home-sale revenue</w:t>
      </w:r>
    </w:p>
    <w:bookmarkEnd w:id="12"/>
    <w:bookmarkStart w:id="13" w:name="X5455372f4de3ab83961627c3bd22e102fab8f78"/>
    <w:p>
      <w:pPr>
        <w:pStyle w:val="Heading2"/>
      </w:pPr>
      <w:r>
        <w:t xml:space="preserve">The five things that actually matter in this print</w:t>
      </w:r>
    </w:p>
    <w:p>
      <w:pPr>
        <w:pStyle w:val="FirstParagraph"/>
      </w:pPr>
      <w:r>
        <w:rPr>
          <w:b/>
          <w:bCs/>
        </w:rPr>
        <w:t xml:space="preserve">1. Is the gross-margin trough playing out as advertised — and is the back-half recovery credible?</w:t>
      </w:r>
      <w:r>
        <w:t xml:space="preserve"> </w:t>
      </w:r>
      <w:r>
        <w:t xml:space="preserve">Q1 margin was 24.4% (down from 27.5% a year ago), pressured by incentives at 10.9% of gross sales price (+290 bps y/y, +100 bps sequentially). Management's back-half recovery to a 24.5%–25.0% full-year range (likely low end) rests on two levers: (a) a richer mix of higher-margin active-adult and build-to-order closings, and (b) burning off the heavily-discounted finished spec that's washing through Q1/Q2 deliveries. Watch the</w:t>
      </w:r>
      <w:r>
        <w:t xml:space="preserve"> </w:t>
      </w:r>
      <w:r>
        <w:rPr>
          <w:b/>
          <w:bCs/>
        </w:rPr>
        <w:t xml:space="preserve">incentive number</w:t>
      </w:r>
      <w:r>
        <w:t xml:space="preserve"> </w:t>
      </w:r>
      <w:r>
        <w:t xml:space="preserve">— the bull case is that even in a competitive market, incentives fall as spec clears and mix improves. A stable-to-lower incentive read + reaffirmed full-year margin range is the key "thesis intact" signal; a downward margin revision would be the negative surprise.</w:t>
      </w:r>
    </w:p>
    <w:p>
      <w:pPr>
        <w:pStyle w:val="BodyText"/>
      </w:pPr>
      <w:r>
        <w:rPr>
          <w:b/>
          <w:bCs/>
        </w:rPr>
        <w:t xml:space="preserve">2. Orders and the shift back to build-to-order.</w:t>
      </w:r>
      <w:r>
        <w:t xml:space="preserve"> </w:t>
      </w:r>
      <w:r>
        <w:t xml:space="preserve">Q1 orders rose 3% to 8,034, driven by a standout +18% in Florida and a 9% jump in community count (offsetting a 5% drop in absorption pace to 2.6/month). BTO was 43% of orders (up from 40%), on the way to a targeted 60/40 BTO/spec mix that management expects to reach around Q1 2027. Consensus wants ~+4% order growth in Q2. Given community-count growth guidance of 3–5% for the back three quarters, the real tell is</w:t>
      </w:r>
      <w:r>
        <w:t xml:space="preserve"> </w:t>
      </w:r>
      <w:r>
        <w:rPr>
          <w:b/>
          <w:bCs/>
        </w:rPr>
        <w:t xml:space="preserve">absorption pace</w:t>
      </w:r>
      <w:r>
        <w:t xml:space="preserve"> </w:t>
      </w:r>
      <w:r>
        <w:t xml:space="preserve">— is per-community demand stabilizing or still sliding?</w:t>
      </w:r>
    </w:p>
    <w:p>
      <w:pPr>
        <w:pStyle w:val="BodyText"/>
      </w:pPr>
      <w:r>
        <w:rPr>
          <w:b/>
          <w:bCs/>
        </w:rPr>
        <w:t xml:space="preserve">3. Regional demand — the K-shaped market.</w:t>
      </w:r>
      <w:r>
        <w:t xml:space="preserve"> </w:t>
      </w:r>
      <w:r>
        <w:t xml:space="preserve">The clearest through-line from Q1: strength concentrated in</w:t>
      </w:r>
      <w:r>
        <w:t xml:space="preserve"> </w:t>
      </w:r>
      <w:r>
        <w:rPr>
          <w:b/>
          <w:bCs/>
        </w:rPr>
        <w:t xml:space="preserve">move-up and active-adult</w:t>
      </w:r>
      <w:r>
        <w:t xml:space="preserve"> </w:t>
      </w:r>
      <w:r>
        <w:t xml:space="preserve">buyers (60% of the business is more affluent Pulte/Del Webb), while</w:t>
      </w:r>
      <w:r>
        <w:t xml:space="preserve"> </w:t>
      </w:r>
      <w:r>
        <w:rPr>
          <w:b/>
          <w:bCs/>
        </w:rPr>
        <w:t xml:space="preserve">first-time buyers remain squeezed</w:t>
      </w:r>
      <w:r>
        <w:t xml:space="preserve"> </w:t>
      </w:r>
      <w:r>
        <w:t xml:space="preserve">on affordability and job-loss fears. Regionally, Florida, the Northeast and Southeast were positive;</w:t>
      </w:r>
      <w:r>
        <w:t xml:space="preserve"> </w:t>
      </w:r>
      <w:r>
        <w:rPr>
          <w:b/>
          <w:bCs/>
        </w:rPr>
        <w:t xml:space="preserve">Texas and the West stayed soft</w:t>
      </w:r>
      <w:r>
        <w:t xml:space="preserve"> </w:t>
      </w:r>
      <w:r>
        <w:t xml:space="preserve">(with lingering finished-spec cleanup in California and Washington); the Midwest was more variable (partly weather). Any read on whether Texas/West are "finding footing" and whether Florida's momentum is durable will move the narrative.</w:t>
      </w:r>
    </w:p>
    <w:p>
      <w:pPr>
        <w:pStyle w:val="BodyText"/>
      </w:pPr>
      <w:r>
        <w:rPr>
          <w:b/>
          <w:bCs/>
        </w:rPr>
        <w:t xml:space="preserve">4. Capital allocation — the balance-sheet story.</w:t>
      </w:r>
      <w:r>
        <w:t xml:space="preserve"> </w:t>
      </w:r>
      <w:r>
        <w:t xml:space="preserve">This is PHM's differentiator. Q1 ended with</w:t>
      </w:r>
      <w:r>
        <w:t xml:space="preserve"> </w:t>
      </w:r>
      <w:r>
        <w:rPr>
          <w:b/>
          <w:bCs/>
        </w:rPr>
        <w:t xml:space="preserve">~</w:t>
      </w:r>
      <m:oMath>
        <m:r>
          <m:t>1.8</m:t>
        </m:r>
        <m:r>
          <m:t>B</m:t>
        </m:r>
        <m:r>
          <m:t>c</m:t>
        </m:r>
        <m:r>
          <m:t>a</m:t>
        </m:r>
        <m:r>
          <m:t>s</m:t>
        </m:r>
        <m:r>
          <m:t>h</m:t>
        </m:r>
        <m:r>
          <m:t>a</m:t>
        </m:r>
        <m:r>
          <m:t>n</m:t>
        </m:r>
        <m:r>
          <m:t>d</m:t>
        </m:r>
        <m:r>
          <m:t>e</m:t>
        </m:r>
        <m:r>
          <m:t>f</m:t>
        </m:r>
        <m:r>
          <m:t>f</m:t>
        </m:r>
        <m:r>
          <m:t>e</m:t>
        </m:r>
        <m:r>
          <m:t>c</m:t>
        </m:r>
        <m:r>
          <m:t>t</m:t>
        </m:r>
        <m:r>
          <m:t>i</m:t>
        </m:r>
        <m:r>
          <m:t>v</m:t>
        </m:r>
        <m:r>
          <m:t>e</m:t>
        </m:r>
        <m:r>
          <m:t>l</m:t>
        </m:r>
        <m:r>
          <m:t>y</m:t>
        </m:r>
        <m:r>
          <m:t>z</m:t>
        </m:r>
        <m:r>
          <m:t>e</m:t>
        </m:r>
        <m:r>
          <m:t>r</m:t>
        </m:r>
        <m:r>
          <m:t>o</m:t>
        </m:r>
        <m:r>
          <m:t>n</m:t>
        </m:r>
        <m:r>
          <m:t>e</m:t>
        </m:r>
        <m:r>
          <m:t>t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n</m:t>
        </m:r>
        <m:r>
          <m:t>e</m:t>
        </m:r>
        <m:r>
          <m:t>t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/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o</m:t>
        </m:r>
        <m:r>
          <m:t>f</m:t>
        </m:r>
        <m:r>
          <m:rPr>
            <m:sty m:val="p"/>
          </m:rPr>
          <m:t>−</m:t>
        </m:r>
        <m:r>
          <m:t>0.2</m:t>
        </m:r>
      </m:oMath>
      <w:r>
        <w:rPr>
          <w:b/>
          <w:bCs/>
        </w:rPr>
        <w:t xml:space="preserve">2.1B remaining</w:t>
      </w:r>
      <w:r>
        <w:t xml:space="preserve">. Full-year framework: ~</w:t>
      </w:r>
      <m:oMath>
        <m:r>
          <m:t>5.4</m:t>
        </m:r>
        <m:r>
          <m:t>B</m:t>
        </m:r>
        <m:r>
          <m:t>l</m:t>
        </m:r>
        <m:r>
          <m:t>a</m:t>
        </m:r>
        <m:r>
          <m:t>n</m:t>
        </m:r>
        <m:r>
          <m:t>d</m:t>
        </m:r>
        <m:r>
          <m:t>s</m:t>
        </m:r>
        <m:r>
          <m:t>p</m:t>
        </m:r>
        <m:r>
          <m:t>e</m:t>
        </m:r>
        <m:r>
          <m:t>n</m:t>
        </m:r>
        <m:r>
          <m:t>d</m:t>
        </m:r>
        <m:r>
          <m:rPr>
            <m:sty m:val="p"/>
          </m:rPr>
          <m:t>,</m:t>
        </m:r>
        <m:r>
          <m:t> </m:t>
        </m:r>
      </m:oMath>
      <w:r>
        <w:t xml:space="preserve">1B free cash flow (temporarily depressed by rebuilding BTO inventory), and continued repurchases. Management pushed back on the idea of a levered buyback, so expect steady rather than accelerated repurchase — watch the</w:t>
      </w:r>
      <w:r>
        <w:t xml:space="preserve"> </w:t>
      </w:r>
      <w:r>
        <w:rPr>
          <w:b/>
          <w:bCs/>
        </w:rPr>
        <w:t xml:space="preserve">share count</w:t>
      </w:r>
      <w:r>
        <w:t xml:space="preserve"> </w:t>
      </w:r>
      <w:r>
        <w:t xml:space="preserve">(down 5% y/y) as the quiet EPS support.</w:t>
      </w:r>
    </w:p>
    <w:p>
      <w:pPr>
        <w:pStyle w:val="BodyText"/>
      </w:pPr>
      <w:r>
        <w:rPr>
          <w:b/>
          <w:bCs/>
        </w:rPr>
        <w:t xml:space="preserve">5. Costs and the land pipeline.</w:t>
      </w:r>
      <w:r>
        <w:t xml:space="preserve"> </w:t>
      </w:r>
      <w:r>
        <w:t xml:space="preserve">Q1 stick-and-brick was down 5% y/y to $75/sq ft (lumber-led), with full-year house costs guided flat to slightly down. But management flagged</w:t>
      </w:r>
      <w:r>
        <w:t xml:space="preserve"> </w:t>
      </w:r>
      <w:r>
        <w:rPr>
          <w:b/>
          <w:bCs/>
        </w:rPr>
        <w:t xml:space="preserve">lumber inflecting higher</w:t>
      </w:r>
      <w:r>
        <w:t xml:space="preserve"> </w:t>
      </w:r>
      <w:r>
        <w:t xml:space="preserve">(roughly a two-quarter lag to closings) plus fuel/metals risk from geopolitical disruption — so listen for any change to the cost outlook. On land, they're seeing</w:t>
      </w:r>
      <w:r>
        <w:t xml:space="preserve"> </w:t>
      </w:r>
      <w:r>
        <w:rPr>
          <w:b/>
          <w:bCs/>
        </w:rPr>
        <w:t xml:space="preserve">land inflation ease</w:t>
      </w:r>
      <w:r>
        <w:t xml:space="preserve"> </w:t>
      </w:r>
      <w:r>
        <w:t xml:space="preserve">and better terms in some markets (benefit flows through in late 2027+); land banking is a modest ~8% of the 229k-lot pipeline, with a focus on risk transfer.</w:t>
      </w:r>
    </w:p>
    <w:bookmarkEnd w:id="13"/>
    <w:bookmarkStart w:id="14" w:name="stock-setup--positioning"/>
    <w:p>
      <w:pPr>
        <w:pStyle w:val="Heading2"/>
      </w:pPr>
      <w:r>
        <w:t xml:space="preserve">Stock setup / positioning</w:t>
      </w:r>
    </w:p>
    <w:p>
      <w:pPr>
        <w:pStyle w:val="FirstParagraph"/>
      </w:pPr>
      <w:r>
        <w:t xml:space="preserve">PHM is</w:t>
      </w:r>
      <w:r>
        <w:t xml:space="preserve"> </w:t>
      </w:r>
      <w:r>
        <w:rPr>
          <w:b/>
          <w:bCs/>
        </w:rPr>
        <w:t xml:space="preserve">up ~4% YTD</w:t>
      </w:r>
      <w:r>
        <w:t xml:space="preserve"> </w:t>
      </w:r>
      <w:r>
        <w:t xml:space="preserve">(as of 7/21), which has actually meaningfully</w:t>
      </w:r>
      <w:r>
        <w:t xml:space="preserve"> </w:t>
      </w:r>
      <w:r>
        <w:rPr>
          <w:b/>
          <w:bCs/>
        </w:rPr>
        <w:t xml:space="preserve">outperformed peers</w:t>
      </w:r>
      <w:r>
        <w:t xml:space="preserve"> </w:t>
      </w:r>
      <w:r>
        <w:t xml:space="preserve">— LEN is down ~21% and DHI roughly flat, with the homebuilder ETF (XHB) up ~1%. That said, PHM has pulled back ~10% from its late-June high, and it's been framed as</w:t>
      </w:r>
      <w:r>
        <w:t xml:space="preserve"> </w:t>
      </w:r>
      <w:r>
        <w:rPr>
          <w:i/>
          <w:iCs/>
        </w:rPr>
        <w:t xml:space="preserve">lagging smaller builders</w:t>
      </w:r>
      <w:r>
        <w:t xml:space="preserve"> </w:t>
      </w:r>
      <w:r>
        <w:t xml:space="preserve">that surged after a Berkshire Hathaway deal in the space. So the stock reflects a quality premium but not euphoria.</w:t>
      </w:r>
    </w:p>
    <w:p>
      <w:pPr>
        <w:pStyle w:val="BodyText"/>
      </w:pPr>
      <w:r>
        <w:rPr>
          <w:b/>
          <w:bCs/>
        </w:rPr>
        <w:t xml:space="preserve">Skew into the print:</w:t>
      </w:r>
      <w:r>
        <w:t xml:space="preserve"> </w:t>
      </w:r>
      <w:r>
        <w:t xml:space="preserve">Expectations are modest and the quarter is well-telegraphed, so downside from a guided-to trough is arguably limited — the sell-side lean has been "cautious near-term, but limited downside risk to estimates." The asymmetric swing factor is</w:t>
      </w:r>
      <w:r>
        <w:t xml:space="preserve"> </w:t>
      </w:r>
      <w:r>
        <w:rPr>
          <w:b/>
          <w:bCs/>
        </w:rPr>
        <w:t xml:space="preserve">mortgage rates</w:t>
      </w:r>
      <w:r>
        <w:t xml:space="preserve">: management was explicit that when rates dipped toward/below 6% earlier in the year, traffic and orders accelerated. A dovish rate backdrop plus reaffirmed guidance could let the market look through the margin trough to a 2027 free-cash-flow-conversion recovery; conversely, a cut to full-year closings, ASP, or the margin range — or evidence that incentives are still climbing — would challenge the "disciplined operator riding it out" thesis.</w:t>
      </w:r>
    </w:p>
    <w:bookmarkEnd w:id="14"/>
    <w:bookmarkStart w:id="15" w:name="bottom-line--what-to-watch-on-the-tape"/>
    <w:p>
      <w:pPr>
        <w:pStyle w:val="Heading2"/>
      </w:pPr>
      <w:r>
        <w:t xml:space="preserve">Bottom line — what to watch on the tape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Full-year guidance:</w:t>
      </w:r>
      <w:r>
        <w:t xml:space="preserve"> </w:t>
      </w:r>
      <w:r>
        <w:t xml:space="preserve">reaffirmed vs. trimmed on closings (28,500–29,000), ASP ($550–560k), and margin (24.5–25%).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Incentive load:</w:t>
      </w:r>
      <w:r>
        <w:t xml:space="preserve"> </w:t>
      </w:r>
      <w:r>
        <w:t xml:space="preserve">direction off Q1's 10.9% — the single best read on pricing power.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Order pace &amp; absorptions:</w:t>
      </w:r>
      <w:r>
        <w:t xml:space="preserve"> </w:t>
      </w:r>
      <w:r>
        <w:t xml:space="preserve">did the spring hold into summer, and is Texas/West stabilizing?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Margin bridge commentary:</w:t>
      </w:r>
      <w:r>
        <w:t xml:space="preserve"> </w:t>
      </w:r>
      <w:r>
        <w:t xml:space="preserve">confidence in the back-half BTO/active-adult mix lift.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Buyback cadence</w:t>
      </w:r>
      <w:r>
        <w:t xml:space="preserve"> </w:t>
      </w:r>
      <w:r>
        <w:t xml:space="preserve">and any land-spend/free-cash-flow update.</w:t>
      </w:r>
    </w:p>
    <w:p>
      <w:pPr>
        <w:pStyle w:val="FirstParagraph"/>
      </w:pPr>
      <w:r>
        <w:t xml:space="preserve">Because the quarter is guided-to a margin trough, the report is likely to be judged less on the Q2 numbers themselves and more on management's tone about demand durability and the credibility of the second-half margin recovery.</w:t>
      </w:r>
    </w:p>
    <w:p>
      <w:pPr>
        <w:pStyle w:val="BodyText"/>
      </w:pPr>
      <w:r>
        <w:rPr>
          <w:i/>
          <w:iCs/>
        </w:rPr>
        <w:t xml:space="preserve">Note: figures above are drawn from PulteGroup's Q1 2026 earnings release and call, plus pre-earnings consensus/press coverage; treat the consensus estimates as approximate.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2026-07-22T00:05:02Z</dcterms:created>
  <dcterms:modified xsi:type="dcterms:W3CDTF">2026-07-22T00:05:02Z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