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~$2.32 vs. cons $2.36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Home Sale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~24.3% vs. cons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New Orders (units)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~7,150 vs. cons 7,383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Home Sale Gross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~24.5% vs. cons ~24.7%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Closings guidance (28,500-29,000 unit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~28,750 vs. cons ~28,800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Gross Margin guide / back-half recovery confirmation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~24.6% vs. cons ~24.6%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(FOLLOW-THROUGH)</w:t>
            </w:r>
          </w:p>
        </w:tc>
        <w:tc>
          <w:tcPr/>
          <w:p>
            <w:pPr>
              <w:pStyle w:val="Compact"/>
            </w:pPr>
            <w:r>
              <w:t xml:space="preserve">Peer DHI's beat-but-guide-cut on 7/21 was punished (~-0.9% idiosyncratic) despite an EPS beat, showing the market is currently fixated on order/volume deceleration and margin-guide direction over headline EPS. PHM's own FY26 GM guide sitting at/near the low end of 24.5%-25.0% and order growth likely decelerating from Q1's +3% (with sector-wide 'light orders' commentary from DHI) gives sell-side cover to trim FY26/FY27 EPS estimates even if Q2 prints roughly in-line. That implicit estimate-cut dynamic (via lower full-year GM/ASP mix and cautious Q3 order commentary) should keep pressure on the stock through the week rather than a snap-back, consistent with a follow-through fade rather than stabilization, though the size is capped by how much bad news (10%+ pre-print pullback, 21% EPS decline already consensus) is already priced 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2026-07-22T00:05:06Z</dcterms:created>
  <dcterms:modified xsi:type="dcterms:W3CDTF">2026-07-22T00:05:06Z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