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pultegroup-phm--q2-2026-earnings-preview"/>
    <w:p>
      <w:pPr>
        <w:pStyle w:val="Heading1"/>
      </w:pPr>
      <w:r>
        <w:t xml:space="preserve">PulteGroup (PHM) — Q2 2026 Earnings Preview</w:t>
      </w:r>
    </w:p>
    <w:p>
      <w:pPr>
        <w:pStyle w:val="FirstParagraph"/>
      </w:pPr>
      <w:r>
        <w:rPr>
          <w:b/>
          <w:bCs/>
        </w:rPr>
        <w:t xml:space="preserve">Reports:</w:t>
      </w:r>
      <w:r>
        <w:t xml:space="preserve"> </w:t>
      </w:r>
      <w:r>
        <w:t xml:space="preserve">Wednesday, July 22,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PulteGroup shares have had a choppy 2026 — rallying from the low $120s in January to a 52-week high near $142 in mid-February, sliding back to roughly $113 by late March amid tariff/rate anxiety, then rebounding sharply to almost $138 in late June before fading back into the print to around</w:t>
      </w:r>
      <w:r>
        <w:t xml:space="preserve"> </w:t>
      </w:r>
      <m:oMath>
        <m:r>
          <m:t>123</m:t>
        </m:r>
        <m:r>
          <m:rPr>
            <m:sty m:val="p"/>
          </m:rPr>
          <m:t>–</m:t>
        </m:r>
      </m:oMath>
      <w:r>
        <w:t xml:space="preserve">125 in the days ahead of earnings. The stock's muted year-to-date performance stands out against a homebuilding sector that has been electrified by consolidation news: Berkshire Hathaway agreed to acquire Taylor Morrison Home for $72.50 per share in cash, a $6.8 billion equity deal valuing the homebuilder at roughly $8.5 billion including debt, part of a broader wave that has seen Japanese conglomerates and other acquirers snap up Tri Pointe, United Homes, and other builders. Barron's noted this week that PHM shares are up 4.76% this year, lagging behind smaller homebuilders that have surged following a deal by Berkshire Hathaway.</w:t>
      </w:r>
    </w:p>
    <w:p>
      <w:pPr>
        <w:pStyle w:val="BodyText"/>
      </w:pPr>
      <w:r>
        <w:t xml:space="preserve">Sentiment heading into the quarter is decidedly mixed-to-cautious: sentiment is cautious on homebuilders in the immediate term due to muted demand and margin headwinds, but some are growing more sanguine for the medium term as Street estimates have limited downside risk.</w:t>
      </w:r>
    </w:p>
    <w:bookmarkEnd w:id="9"/>
    <w:bookmarkStart w:id="10" w:name="consensus-expectations"/>
    <w:p>
      <w:pPr>
        <w:pStyle w:val="Heading2"/>
      </w:pPr>
      <w:r>
        <w:t xml:space="preserve">Consensus Expectations</w:t>
      </w:r>
    </w:p>
    <w:p>
      <w:pPr>
        <w:pStyle w:val="FirstParagraph"/>
      </w:pPr>
      <w:r>
        <w:t xml:space="preserve">Per Barron's/Street compilation:</w:t>
      </w:r>
    </w:p>
    <w:p>
      <w:pPr>
        <w:pStyle w:val="Compact"/>
        <w:numPr>
          <w:ilvl w:val="0"/>
          <w:numId w:val="1001"/>
        </w:numPr>
      </w:pPr>
      <w:r>
        <w:rPr>
          <w:b/>
          <w:bCs/>
        </w:rPr>
        <w:t xml:space="preserve">EPS:</w:t>
      </w:r>
      <w:r>
        <w:t xml:space="preserve"> </w:t>
      </w:r>
      <w:r>
        <w:t xml:space="preserve">~$2.36, down from $3.00 a year ago</w:t>
      </w:r>
    </w:p>
    <w:p>
      <w:pPr>
        <w:pStyle w:val="Compact"/>
        <w:numPr>
          <w:ilvl w:val="0"/>
          <w:numId w:val="1001"/>
        </w:numPr>
      </w:pPr>
      <w:r>
        <w:rPr>
          <w:b/>
          <w:bCs/>
        </w:rPr>
        <w:t xml:space="preserve">Revenue:</w:t>
      </w:r>
      <w:r>
        <w:t xml:space="preserve"> </w:t>
      </w:r>
      <w:r>
        <w:t xml:space="preserve">~$3.9 billion, down from $4.4 billion a year ago</w:t>
      </w:r>
    </w:p>
    <w:p>
      <w:pPr>
        <w:pStyle w:val="Compact"/>
        <w:numPr>
          <w:ilvl w:val="0"/>
          <w:numId w:val="1001"/>
        </w:numPr>
      </w:pPr>
      <w:r>
        <w:rPr>
          <w:b/>
          <w:bCs/>
        </w:rPr>
        <w:t xml:space="preserve">Gross margin:</w:t>
      </w:r>
      <w:r>
        <w:t xml:space="preserve"> </w:t>
      </w:r>
      <w:r>
        <w:t xml:space="preserve">~24.3%</w:t>
      </w:r>
    </w:p>
    <w:p>
      <w:pPr>
        <w:pStyle w:val="Compact"/>
        <w:numPr>
          <w:ilvl w:val="0"/>
          <w:numId w:val="1001"/>
        </w:numPr>
      </w:pPr>
      <w:r>
        <w:rPr>
          <w:b/>
          <w:bCs/>
        </w:rPr>
        <w:t xml:space="preserve">Closings:</w:t>
      </w:r>
      <w:r>
        <w:t xml:space="preserve"> </w:t>
      </w:r>
      <w:r>
        <w:t xml:space="preserve">~7,029 units (down y/y)</w:t>
      </w:r>
    </w:p>
    <w:p>
      <w:pPr>
        <w:pStyle w:val="Compact"/>
        <w:numPr>
          <w:ilvl w:val="0"/>
          <w:numId w:val="1001"/>
        </w:numPr>
      </w:pPr>
      <w:r>
        <w:rPr>
          <w:b/>
          <w:bCs/>
        </w:rPr>
        <w:t xml:space="preserve">Net new orders:</w:t>
      </w:r>
      <w:r>
        <w:t xml:space="preserve"> </w:t>
      </w:r>
      <w:r>
        <w:t xml:space="preserve">~7,383 units (up ~4.2% y/y)</w:t>
      </w:r>
    </w:p>
    <w:p>
      <w:pPr>
        <w:pStyle w:val="FirstParagraph"/>
      </w:pPr>
      <w:r>
        <w:t xml:space="preserve">PulteGroup is expected to report narrower margins Wednesday morning, with analysts maintaining a broadly steady outlook for the large home builder, predicting resilient demand, forecasting earnings of $2.36 a share on revenue of $3.9 billion for the company's fiscal second quarter, down year over year from earnings of $3 on $4.4 billion in revenue last June. BTIG's Ryan Gilbert framed the setup constructively, writing that "PHM has executed its operating and capital strategy well in a challenging market, effectively managing the pace vs. price dynamic to keep inventory turning without overly diluting margin."</w:t>
      </w:r>
    </w:p>
    <w:bookmarkEnd w:id="10"/>
    <w:bookmarkStart w:id="11" w:name="what-management-guided-to-last-quarter"/>
    <w:p>
      <w:pPr>
        <w:pStyle w:val="Heading2"/>
      </w:pPr>
      <w:r>
        <w:t xml:space="preserve">What Management Guided to Last Quarter</w:t>
      </w:r>
    </w:p>
    <w:p>
      <w:pPr>
        <w:pStyle w:val="FirstParagraph"/>
      </w:pPr>
      <w:r>
        <w:t xml:space="preserve">PulteGroup's own Q1 guidance is the real benchmark for tomorrow's print:</w:t>
      </w:r>
    </w:p>
    <w:p>
      <w:pPr>
        <w:pStyle w:val="Compact"/>
        <w:numPr>
          <w:ilvl w:val="0"/>
          <w:numId w:val="1002"/>
        </w:numPr>
      </w:pPr>
      <w:r>
        <w:rPr>
          <w:b/>
          <w:bCs/>
        </w:rPr>
        <w:t xml:space="preserve">Closings:</w:t>
      </w:r>
      <w:r>
        <w:t xml:space="preserve"> </w:t>
      </w:r>
      <w:r>
        <w:t xml:space="preserve">Management said it expects to close between 6,700 and 7,100 homes in the second quarter of 2026, keeping it on track with previous guidance on closings in the range of 28,500 to 29,000 homes for full year 2026.</w:t>
      </w:r>
    </w:p>
    <w:p>
      <w:pPr>
        <w:pStyle w:val="Compact"/>
        <w:numPr>
          <w:ilvl w:val="0"/>
          <w:numId w:val="1002"/>
        </w:numPr>
      </w:pPr>
      <w:r>
        <w:rPr>
          <w:b/>
          <w:bCs/>
        </w:rPr>
        <w:t xml:space="preserve">ASP:</w:t>
      </w:r>
      <w:r>
        <w:t xml:space="preserve"> </w:t>
      </w:r>
      <w:r>
        <w:t xml:space="preserve">Given competitive market conditions and the belief that incentives will remain elevated, the company expected the average sales price of second quarter closings to be in the range of $540,000 to $550,000, while reaffirming full-year 2026 ASP guidance of $550,000 to $560,000.</w:t>
      </w:r>
    </w:p>
    <w:p>
      <w:pPr>
        <w:pStyle w:val="Compact"/>
        <w:numPr>
          <w:ilvl w:val="0"/>
          <w:numId w:val="1002"/>
        </w:numPr>
      </w:pPr>
      <w:r>
        <w:rPr>
          <w:b/>
          <w:bCs/>
        </w:rPr>
        <w:t xml:space="preserve">Gross margin — this is the key line to watch.</w:t>
      </w:r>
      <w:r>
        <w:t xml:space="preserve"> </w:t>
      </w:r>
      <w:r>
        <w:t xml:space="preserve">Management explicitly called Q2 the trough: based on anticipated closing mix and current selling conditions, the company expected second quarter gross margin to be in the range of 24.1% to 24.4%, noting that Q2 gross margins would be the low point for 2026, with margins forecast to recover in the back half of the year. Full-year gross margin guidance was maintained at 24.5%–25.0%, "although likely towards the lower end of the range."</w:t>
      </w:r>
    </w:p>
    <w:p>
      <w:pPr>
        <w:pStyle w:val="Compact"/>
        <w:numPr>
          <w:ilvl w:val="0"/>
          <w:numId w:val="1002"/>
        </w:numPr>
      </w:pPr>
      <w:r>
        <w:rPr>
          <w:b/>
          <w:bCs/>
        </w:rPr>
        <w:t xml:space="preserve">SG&amp;A:</w:t>
      </w:r>
      <w:r>
        <w:t xml:space="preserve"> </w:t>
      </w:r>
      <w:r>
        <w:t xml:space="preserve">Guided to 9.5%–9.7% of home sale revenue for the full year.</w:t>
      </w:r>
    </w:p>
    <w:p>
      <w:pPr>
        <w:pStyle w:val="Compact"/>
        <w:numPr>
          <w:ilvl w:val="0"/>
          <w:numId w:val="1002"/>
        </w:numPr>
      </w:pPr>
      <w:r>
        <w:rPr>
          <w:b/>
          <w:bCs/>
        </w:rPr>
        <w:t xml:space="preserve">Tax rate:</w:t>
      </w:r>
      <w:r>
        <w:t xml:space="preserve"> </w:t>
      </w:r>
      <w:r>
        <w:t xml:space="preserve">~24.5% expected for the balance of the year.</w:t>
      </w:r>
    </w:p>
    <w:p>
      <w:pPr>
        <w:pStyle w:val="Compact"/>
        <w:numPr>
          <w:ilvl w:val="0"/>
          <w:numId w:val="1002"/>
        </w:numPr>
      </w:pPr>
      <w:r>
        <w:rPr>
          <w:b/>
          <w:bCs/>
        </w:rPr>
        <w:t xml:space="preserve">Land spend / FCF:</w:t>
      </w:r>
      <w:r>
        <w:t xml:space="preserve"> </w:t>
      </w:r>
      <w:r>
        <w:t xml:space="preserve">the company is projecting land acquisition and development spend of $5.4 billion in 2026, and assuming this level of spend along with house inventory growth tied to more build-to-order sales, expects 2026 cash flow generation of approximately $1 billion.</w:t>
      </w:r>
    </w:p>
    <w:bookmarkEnd w:id="11"/>
    <w:bookmarkStart w:id="12" w:name="q1-2026-recap-base-rate-for-the-quarter"/>
    <w:p>
      <w:pPr>
        <w:pStyle w:val="Heading2"/>
      </w:pPr>
      <w:r>
        <w:t xml:space="preserve">Q1 2026 Recap (Base Rate for the Quarter)</w:t>
      </w:r>
    </w:p>
    <w:p>
      <w:pPr>
        <w:pStyle w:val="FirstParagraph"/>
      </w:pPr>
      <w:r>
        <w:t xml:space="preserve">Q1 showed the pattern investors should expect to see continue: order growth via community count offsetting margin compression from incentives.</w:t>
      </w:r>
    </w:p>
    <w:p>
      <w:pPr>
        <w:pStyle w:val="Compact"/>
        <w:numPr>
          <w:ilvl w:val="0"/>
          <w:numId w:val="1003"/>
        </w:numPr>
      </w:pPr>
      <w:r>
        <w:t xml:space="preserve">Net income was $346,996 thousand, or $1.79 per share, versus net income of $522,799 thousand, or $2.57 per share, in the comparable prior-year period.</w:t>
      </w:r>
    </w:p>
    <w:p>
      <w:pPr>
        <w:pStyle w:val="Compact"/>
        <w:numPr>
          <w:ilvl w:val="0"/>
          <w:numId w:val="1003"/>
        </w:numPr>
      </w:pPr>
      <w:r>
        <w:t xml:space="preserve">Home sale revenues for the first quarter totaled $3.3 billion, a decrease of 12% from the prior year, reflecting a 7% decrease in closing volumes to 6,102 homes along with a 5% decrease in average sales price to $542,000.</w:t>
      </w:r>
    </w:p>
    <w:p>
      <w:pPr>
        <w:pStyle w:val="Compact"/>
        <w:numPr>
          <w:ilvl w:val="0"/>
          <w:numId w:val="1003"/>
        </w:numPr>
      </w:pPr>
      <w:r>
        <w:t xml:space="preserve">First quarter home sale gross margin was 24.4%, compared with prior year gross margin of 27.5%.</w:t>
      </w:r>
    </w:p>
    <w:p>
      <w:pPr>
        <w:pStyle w:val="Compact"/>
        <w:numPr>
          <w:ilvl w:val="0"/>
          <w:numId w:val="1003"/>
        </w:numPr>
      </w:pPr>
      <w:r>
        <w:t xml:space="preserve">Net new orders for the first quarter increased 3% to 8,034 homes with a value of $4.6 billion, from prior year net new orders of 7,765 homes with a value of $4.5 billion.</w:t>
      </w:r>
    </w:p>
    <w:p>
      <w:pPr>
        <w:pStyle w:val="Compact"/>
        <w:numPr>
          <w:ilvl w:val="0"/>
          <w:numId w:val="1003"/>
        </w:numPr>
      </w:pPr>
      <w:r>
        <w:t xml:space="preserve">Incentives were a key margin driver: $3.3 billion in home sale revenues, 24.4% gross margins and lower share count all contributed to driving earnings of $1.79 per share, but incentives reached</w:t>
      </w:r>
      <w:r>
        <w:t xml:space="preserve"> </w:t>
      </w:r>
      <w:r>
        <w:rPr>
          <w:b/>
          <w:bCs/>
        </w:rPr>
        <w:t xml:space="preserve">10.9% of gross sales price</w:t>
      </w:r>
      <w:r>
        <w:t xml:space="preserve"> </w:t>
      </w:r>
      <w:r>
        <w:t xml:space="preserve">in Q1, up 290bps y/y.</w:t>
      </w:r>
    </w:p>
    <w:p>
      <w:pPr>
        <w:pStyle w:val="Compact"/>
        <w:numPr>
          <w:ilvl w:val="0"/>
          <w:numId w:val="1003"/>
        </w:numPr>
      </w:pPr>
      <w:r>
        <w:t xml:space="preserve">The Company ended the quarter with a debt-to-capital ratio of 12.3%, and a cash balance of $1.8 billion — net debt-to-cap effectively zero. The Board approved a $1.5 billion increase to the share repurchase authorization, bringing remaining availability to $2.1 billion.</w:t>
      </w:r>
    </w:p>
    <w:bookmarkEnd w:id="12"/>
    <w:bookmarkStart w:id="13" w:name="key-themes-to-watch-on-the-call"/>
    <w:p>
      <w:pPr>
        <w:pStyle w:val="Heading2"/>
      </w:pPr>
      <w:r>
        <w:t xml:space="preserve">Key Themes to Watch on the Call</w:t>
      </w:r>
    </w:p>
    <w:p>
      <w:pPr>
        <w:numPr>
          <w:ilvl w:val="0"/>
          <w:numId w:val="1004"/>
        </w:numPr>
      </w:pPr>
      <w:r>
        <w:rPr>
          <w:b/>
          <w:bCs/>
        </w:rPr>
        <w:t xml:space="preserve">Margin trajectory / incentive load.</w:t>
      </w:r>
      <w:r>
        <w:t xml:space="preserve"> </w:t>
      </w:r>
      <w:r>
        <w:t xml:space="preserve">Management said Q2 would mark the low point for gross margin due to a heavy load of finished-spec closings sold at elevated discounts in Q1/Q2. Confirmation that margins are indeed troughing here — and that the back-half recovery to the 24.5%–25.0% full-year range is intact — is the single most important data point. Watch commentary on whether incentives (10.9% of gross sales price in Q1) held steady, rose, or began easing as buyer mix shifts toward move-up/active adult and build-to-order.</w:t>
      </w:r>
    </w:p>
    <w:p>
      <w:pPr>
        <w:numPr>
          <w:ilvl w:val="0"/>
          <w:numId w:val="1004"/>
        </w:numPr>
      </w:pPr>
      <w:r>
        <w:rPr>
          <w:b/>
          <w:bCs/>
        </w:rPr>
        <w:t xml:space="preserve">Build-to-order (BTO) mix shift.</w:t>
      </w:r>
      <w:r>
        <w:t xml:space="preserve"> </w:t>
      </w:r>
      <w:r>
        <w:t xml:space="preserve">Pulte is repositioning back toward its historic 60/40 BTO/spec mix (BTO orders were 43% in Q1, up from 40%). This transition pressures near-term free cash flow (guided to ~$1B for FY26, below net income) but should support margin recovery and normalize FCF conversion into 2027. Listen for progress updates and any change to the "not much beyond Q1 of next year" timeline management gave for reaching the 60% target.</w:t>
      </w:r>
    </w:p>
    <w:p>
      <w:pPr>
        <w:numPr>
          <w:ilvl w:val="0"/>
          <w:numId w:val="1004"/>
        </w:numPr>
      </w:pPr>
      <w:r>
        <w:rPr>
          <w:b/>
          <w:bCs/>
        </w:rPr>
        <w:t xml:space="preserve">Geographic divergence.</w:t>
      </w:r>
      <w:r>
        <w:t xml:space="preserve"> </w:t>
      </w:r>
      <w:r>
        <w:t xml:space="preserve">Florida has been the standout — results benefited from 18% order growth in Florida, as the diversified business platform and exceptional land positions continue to deliver strong results — while Texas and the West remain softer, and the Midwest saw more variable performance last quarter (partly weather-related). Any sign of Florida cooling or Texas/West stabilizing would be notable given peer commentary.</w:t>
      </w:r>
    </w:p>
    <w:p>
      <w:pPr>
        <w:numPr>
          <w:ilvl w:val="0"/>
          <w:numId w:val="1004"/>
        </w:numPr>
      </w:pPr>
      <w:r>
        <w:rPr>
          <w:b/>
          <w:bCs/>
        </w:rPr>
        <w:t xml:space="preserve">Peer read-across / industry backdrop.</w:t>
      </w:r>
      <w:r>
        <w:t xml:space="preserve"> </w:t>
      </w:r>
      <w:r>
        <w:t xml:space="preserve">D.R. Horton reported Tuesday (7/21): DHI reported fiscal Q3 EPS of $3.20, beating the Street estimate of $2.98, driven by slightly better home deliveries and modestly improved housing gross margins, but the company is trimming full-year guidance with revenue now expected to come in at $32.5–33.0 billion versus prior guidance of $33.5–34.5 billion amid ongoing housing headwinds, expecting to sell fewer homes this year than originally planned. This sets a cautious tone on order/volume trends into PHM's print, even as margins have held up reasonably well across the sector.</w:t>
      </w:r>
    </w:p>
    <w:p>
      <w:pPr>
        <w:numPr>
          <w:ilvl w:val="0"/>
          <w:numId w:val="1004"/>
        </w:numPr>
      </w:pPr>
      <w:r>
        <w:rPr>
          <w:b/>
          <w:bCs/>
        </w:rPr>
        <w:t xml:space="preserve">Capital allocation.</w:t>
      </w:r>
      <w:r>
        <w:t xml:space="preserve"> </w:t>
      </w:r>
      <w:r>
        <w:t xml:space="preserve">With net debt-to-cap effectively at zero and a freshly expanded $2.1 billion buyback authorization, watch for the pace of repurchases (Q1 was $308 million) and any commentary on land banking exposure (currently ~8% of the 229,000-lot pipeline) versus traditional options, a topic that's become a hot-button issue across the industry amid the M&amp;A/consolidation wave (Berkshire/Taylor Morrison, Sumitomo/Tri Pointe, etc.).</w:t>
      </w:r>
    </w:p>
    <w:p>
      <w:pPr>
        <w:numPr>
          <w:ilvl w:val="0"/>
          <w:numId w:val="1004"/>
        </w:numPr>
      </w:pPr>
      <w:r>
        <w:rPr>
          <w:b/>
          <w:bCs/>
        </w:rPr>
        <w:t xml:space="preserve">Rate sensitivity.</w:t>
      </w:r>
      <w:r>
        <w:t xml:space="preserve"> </w:t>
      </w:r>
      <w:r>
        <w:t xml:space="preserve">Management flagged that demand improved noticeably when mortgage rates dipped near/below 6% earlier in Q1, and reiterated optimism that further rate relief or eased geopolitical tension could provide upside to an otherwise "typical spring selling season." Commentary on rate buydown usage (forward-commitment programs in the low-to-mid 5% range) and ARM share (9% of Q1 closings, up from 7% in 2025) will help gauge how much of demand is being "bought" via financing incentives versus organic.</w:t>
      </w:r>
    </w:p>
    <w:bookmarkEnd w:id="13"/>
    <w:bookmarkStart w:id="14" w:name="bottom-line-for-investors"/>
    <w:p>
      <w:pPr>
        <w:pStyle w:val="Heading2"/>
      </w:pPr>
      <w:r>
        <w:t xml:space="preserve">Bottom Line for Investors</w:t>
      </w:r>
    </w:p>
    <w:p>
      <w:pPr>
        <w:pStyle w:val="FirstParagraph"/>
      </w:pPr>
      <w:r>
        <w:t xml:space="preserve">The setup is one of low expectations rather than high risk: consensus already bakes in a roughly 21% EPS decline and margin compression, and management's own guidance flagged Q2 as the gross-margin trough for the year. The bar is arguably more about</w:t>
      </w:r>
      <w:r>
        <w:t xml:space="preserve"> </w:t>
      </w:r>
      <w:r>
        <w:rPr>
          <w:b/>
          <w:bCs/>
        </w:rPr>
        <w:t xml:space="preserve">confirming the back-half margin recovery thesis, BTO mix progress, and order growth resilience (Florida strength vs. Texas/West softness)</w:t>
      </w:r>
      <w:r>
        <w:t xml:space="preserve"> </w:t>
      </w:r>
      <w:r>
        <w:t xml:space="preserve">than about the headline EPS beat/miss. Peer results (DHI's guidance trim on light orders) suggest the market will scrutinize order commentary and full-year closing guidance (28,500–29,000 units) closely, while the ongoing industry consolidation wave (Berkshire/Taylor Morrison) keeps a floor under sector sentiment by signaling that sophisticated capital sees value near cycle lows.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2026-07-22T00:05:06Z</dcterms:created>
  <dcterms:modified xsi:type="dcterms:W3CDTF">2026-07-22T00:05:06Z</dcterms:modified>
</cp:coreProperties>
</file>

<file path=docProps/custom.xml><?xml version="1.0" encoding="utf-8"?>
<Properties xmlns="http://schemas.openxmlformats.org/officeDocument/2006/custom-properties" xmlns:vt="http://schemas.openxmlformats.org/officeDocument/2006/docPropsVTypes"/>
</file>