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phm-q2-2026-earnings-preview"/>
    <w:p>
      <w:pPr>
        <w:pStyle w:val="Heading1"/>
      </w:pPr>
      <w:r>
        <w:t xml:space="preserve">PHM Q2 2026 Earnings Preview</w:t>
      </w:r>
    </w:p>
    <w:p>
      <w:pPr>
        <w:pStyle w:val="FirstParagraph"/>
      </w:pPr>
      <w:r>
        <w:rPr>
          <w:b/>
          <w:bCs/>
        </w:rPr>
        <w:t xml:space="preserve">PulteGroup reports before the market opens on Wednesday, July 22, 2026.</w:t>
      </w:r>
    </w:p>
    <w:bookmarkStart w:id="9" w:name="investment-view-going-into-the-print"/>
    <w:p>
      <w:pPr>
        <w:pStyle w:val="Heading2"/>
      </w:pPr>
      <w:r>
        <w:t xml:space="preserve">Investment view going into the print</w:t>
      </w:r>
    </w:p>
    <w:p>
      <w:pPr>
        <w:pStyle w:val="FirstParagraph"/>
      </w:pPr>
      <w:r>
        <w:t xml:space="preserve">The central issue is not whether PulteGroup can meet its second-quarter numbers. Current consensus sits comfortably inside management’s April guidance. The more important question is whether management can preserve its expected second-half margin recovery while demand remains uneven and mortgage incentives remain elevated.</w:t>
      </w:r>
    </w:p>
    <w:p>
      <w:pPr>
        <w:pStyle w:val="BodyText"/>
      </w:pPr>
      <w:r>
        <w:t xml:space="preserve">Pulte entered the quarter with several advantages: strong move-up and active-adult exposure, improving Florida demand, lower finished-spec inventory, falling construction costs, and a near-zero net-debt position. Those strengths are offset by weaker affordability, pressure on first-time buyers, higher land costs and the possibility that softer late-quarter demand forces more incentives.</w:t>
      </w:r>
    </w:p>
    <w:p>
      <w:pPr>
        <w:pStyle w:val="BodyText"/>
      </w:pPr>
      <w:r>
        <w:t xml:space="preserve">D.R. Horton’s July 21 report reinforced both sides of the debate: margins benefited from construction-cost savings, but demand softened later in the quarter and DHI reduced its full-year delivery forecast. PHM therefore may need more than an in-line quarter; investors will want evidence that orders, incentives and the second-half outlook remain intact.</w:t>
      </w:r>
    </w:p>
    <w:bookmarkEnd w:id="9"/>
    <w:bookmarkStart w:id="10" w:name="street-expectations"/>
    <w:p>
      <w:pPr>
        <w:pStyle w:val="Heading2"/>
      </w:pPr>
      <w:r>
        <w:t xml:space="preserve">Street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Change</w:t>
            </w:r>
          </w:p>
        </w:tc>
      </w:tr>
      <w:tr>
        <w:tc>
          <w:tcPr/>
          <w:p>
            <w:pPr>
              <w:pStyle w:val="Compact"/>
            </w:pPr>
            <w:r>
              <w:t xml:space="preserve">EPS</w:t>
            </w:r>
          </w:p>
        </w:tc>
        <w:tc>
          <w:tcPr/>
          <w:p>
            <w:pPr>
              <w:pStyle w:val="Compact"/>
              <w:jc w:val="right"/>
            </w:pPr>
            <w:r>
              <w:rPr>
                <w:b/>
                <w:bCs/>
              </w:rPr>
              <w:t xml:space="preserve">$2.36</w:t>
            </w:r>
          </w:p>
        </w:tc>
        <w:tc>
          <w:tcPr/>
          <w:p>
            <w:pPr>
              <w:pStyle w:val="Compact"/>
              <w:jc w:val="right"/>
            </w:pPr>
            <w:r>
              <w:t xml:space="preserve">$3.03</w:t>
            </w:r>
          </w:p>
        </w:tc>
        <w:tc>
          <w:tcPr/>
          <w:p>
            <w:pPr>
              <w:pStyle w:val="Compact"/>
              <w:jc w:val="right"/>
            </w:pPr>
            <w:r>
              <w:t xml:space="preserve">-22%</w:t>
            </w:r>
          </w:p>
        </w:tc>
      </w:tr>
      <w:tr>
        <w:tc>
          <w:tcPr/>
          <w:p>
            <w:pPr>
              <w:pStyle w:val="Compact"/>
            </w:pPr>
            <w:r>
              <w:t xml:space="preserve">Total revenue</w:t>
            </w:r>
          </w:p>
        </w:tc>
        <w:tc>
          <w:tcPr/>
          <w:p>
            <w:pPr>
              <w:pStyle w:val="Compact"/>
              <w:jc w:val="right"/>
            </w:pPr>
            <w:r>
              <w:rPr>
                <w:b/>
                <w:bCs/>
              </w:rPr>
              <w:t xml:space="preserve">$3.9B</w:t>
            </w:r>
          </w:p>
        </w:tc>
        <w:tc>
          <w:tcPr/>
          <w:p>
            <w:pPr>
              <w:pStyle w:val="Compact"/>
              <w:jc w:val="right"/>
            </w:pPr>
            <w:r>
              <w:t xml:space="preserve">$4.40B</w:t>
            </w:r>
          </w:p>
        </w:tc>
        <w:tc>
          <w:tcPr/>
          <w:p>
            <w:pPr>
              <w:pStyle w:val="Compact"/>
              <w:jc w:val="right"/>
            </w:pPr>
            <w:r>
              <w:t xml:space="preserve">-11%</w:t>
            </w:r>
          </w:p>
        </w:tc>
      </w:tr>
      <w:tr>
        <w:tc>
          <w:tcPr/>
          <w:p>
            <w:pPr>
              <w:pStyle w:val="Compact"/>
            </w:pPr>
            <w:r>
              <w:t xml:space="preserve">Deliveries</w:t>
            </w:r>
          </w:p>
        </w:tc>
        <w:tc>
          <w:tcPr/>
          <w:p>
            <w:pPr>
              <w:pStyle w:val="Compact"/>
              <w:jc w:val="right"/>
            </w:pPr>
            <w:r>
              <w:rPr>
                <w:b/>
                <w:bCs/>
              </w:rPr>
              <w:t xml:space="preserve">7,029</w:t>
            </w:r>
          </w:p>
        </w:tc>
        <w:tc>
          <w:tcPr/>
          <w:p>
            <w:pPr>
              <w:pStyle w:val="Compact"/>
              <w:jc w:val="right"/>
            </w:pPr>
            <w:r>
              <w:t xml:space="preserve">7,639</w:t>
            </w:r>
          </w:p>
        </w:tc>
        <w:tc>
          <w:tcPr/>
          <w:p>
            <w:pPr>
              <w:pStyle w:val="Compact"/>
              <w:jc w:val="right"/>
            </w:pPr>
            <w:r>
              <w:t xml:space="preserve">-8%</w:t>
            </w:r>
          </w:p>
        </w:tc>
      </w:tr>
      <w:tr>
        <w:tc>
          <w:tcPr/>
          <w:p>
            <w:pPr>
              <w:pStyle w:val="Compact"/>
            </w:pPr>
            <w:r>
              <w:t xml:space="preserve">Home-sale gross margin</w:t>
            </w:r>
          </w:p>
        </w:tc>
        <w:tc>
          <w:tcPr/>
          <w:p>
            <w:pPr>
              <w:pStyle w:val="Compact"/>
              <w:jc w:val="right"/>
            </w:pPr>
            <w:r>
              <w:rPr>
                <w:b/>
                <w:bCs/>
              </w:rPr>
              <w:t xml:space="preserve">24.3%</w:t>
            </w:r>
          </w:p>
        </w:tc>
        <w:tc>
          <w:tcPr/>
          <w:p>
            <w:pPr>
              <w:pStyle w:val="Compact"/>
              <w:jc w:val="right"/>
            </w:pPr>
            <w:r>
              <w:t xml:space="preserve">27.0%</w:t>
            </w:r>
          </w:p>
        </w:tc>
        <w:tc>
          <w:tcPr/>
          <w:p>
            <w:pPr>
              <w:pStyle w:val="Compact"/>
              <w:jc w:val="right"/>
            </w:pPr>
            <w:r>
              <w:t xml:space="preserve">-270 bps</w:t>
            </w:r>
          </w:p>
        </w:tc>
      </w:tr>
      <w:tr>
        <w:tc>
          <w:tcPr/>
          <w:p>
            <w:pPr>
              <w:pStyle w:val="Compact"/>
            </w:pPr>
            <w:r>
              <w:t xml:space="preserve">Net new orders</w:t>
            </w:r>
          </w:p>
        </w:tc>
        <w:tc>
          <w:tcPr/>
          <w:p>
            <w:pPr>
              <w:pStyle w:val="Compact"/>
              <w:jc w:val="right"/>
            </w:pPr>
            <w:r>
              <w:rPr>
                <w:b/>
                <w:bCs/>
              </w:rPr>
              <w:t xml:space="preserve">7,383</w:t>
            </w:r>
          </w:p>
        </w:tc>
        <w:tc>
          <w:tcPr/>
          <w:p>
            <w:pPr>
              <w:pStyle w:val="Compact"/>
              <w:jc w:val="right"/>
            </w:pPr>
            <w:r>
              <w:t xml:space="preserve">7,083</w:t>
            </w:r>
          </w:p>
        </w:tc>
        <w:tc>
          <w:tcPr/>
          <w:p>
            <w:pPr>
              <w:pStyle w:val="Compact"/>
              <w:jc w:val="right"/>
            </w:pPr>
            <w:r>
              <w:t xml:space="preserve">+4%</w:t>
            </w:r>
          </w:p>
        </w:tc>
      </w:tr>
    </w:tbl>
    <w:p>
      <w:pPr>
        <w:pStyle w:val="BodyText"/>
      </w:pPr>
      <w:r>
        <w:t xml:space="preserve">The consensus delivery, ASP and margin assumptions are close to the ranges management issued in April:</w:t>
      </w:r>
    </w:p>
    <w:p>
      <w:pPr>
        <w:pStyle w:val="Compact"/>
        <w:numPr>
          <w:ilvl w:val="0"/>
          <w:numId w:val="1001"/>
        </w:numPr>
      </w:pPr>
      <w:r>
        <w:rPr>
          <w:b/>
          <w:bCs/>
        </w:rPr>
        <w:t xml:space="preserve">Q2 deliveries:</w:t>
      </w:r>
      <w:r>
        <w:t xml:space="preserve"> </w:t>
      </w:r>
      <w:r>
        <w:t xml:space="preserve">6,700–7,100</w:t>
      </w:r>
    </w:p>
    <w:p>
      <w:pPr>
        <w:pStyle w:val="Compact"/>
        <w:numPr>
          <w:ilvl w:val="0"/>
          <w:numId w:val="1001"/>
        </w:numPr>
      </w:pPr>
      <w:r>
        <w:rPr>
          <w:b/>
          <w:bCs/>
        </w:rPr>
        <w:t xml:space="preserve">Q2 closing ASP:</w:t>
      </w:r>
      <w:r>
        <w:t xml:space="preserve"> </w:t>
      </w:r>
      <m:oMath>
        <m:r>
          <m:t>540</m:t>
        </m:r>
        <m:r>
          <m:rPr>
            <m:sty m:val="p"/>
          </m:rPr>
          <m:t>,</m:t>
        </m:r>
        <m:r>
          <m:t>000</m:t>
        </m:r>
        <m:r>
          <m:rPr>
            <m:sty m:val="p"/>
          </m:rPr>
          <m:t>–</m:t>
        </m:r>
      </m:oMath>
      <w:r>
        <w:t xml:space="preserve">550,000</w:t>
      </w:r>
    </w:p>
    <w:p>
      <w:pPr>
        <w:pStyle w:val="Compact"/>
        <w:numPr>
          <w:ilvl w:val="0"/>
          <w:numId w:val="1001"/>
        </w:numPr>
      </w:pPr>
      <w:r>
        <w:rPr>
          <w:b/>
          <w:bCs/>
        </w:rPr>
        <w:t xml:space="preserve">Q2 home-sale gross margin:</w:t>
      </w:r>
      <w:r>
        <w:t xml:space="preserve"> </w:t>
      </w:r>
      <w:r>
        <w:t xml:space="preserve">24.1%–24.4%</w:t>
      </w:r>
    </w:p>
    <w:p>
      <w:pPr>
        <w:pStyle w:val="FirstParagraph"/>
      </w:pPr>
      <w:r>
        <w:t xml:space="preserve">That makes a material headline surprise less likely unless orders, financial-services earnings or expenses differ meaningfully from expectations.</w:t>
      </w:r>
    </w:p>
    <w:bookmarkEnd w:id="10"/>
    <w:bookmarkStart w:id="16" w:name="the-five-numbers-that-matter-most"/>
    <w:p>
      <w:pPr>
        <w:pStyle w:val="Heading2"/>
      </w:pPr>
      <w:r>
        <w:t xml:space="preserve">The five numbers that matter most</w:t>
      </w:r>
    </w:p>
    <w:bookmarkStart w:id="11" w:name="X5b5aa757a737dc281e30cc8725550432a1c2452"/>
    <w:p>
      <w:pPr>
        <w:pStyle w:val="Heading3"/>
      </w:pPr>
      <w:r>
        <w:t xml:space="preserve">1. Net new orders and absorption</w:t>
      </w:r>
    </w:p>
    <w:p>
      <w:pPr>
        <w:pStyle w:val="FirstParagraph"/>
      </w:pPr>
      <w:r>
        <w:t xml:space="preserve">Consensus calls for approximately</w:t>
      </w:r>
      <w:r>
        <w:t xml:space="preserve"> </w:t>
      </w:r>
      <w:r>
        <w:rPr>
          <w:b/>
          <w:bCs/>
        </w:rPr>
        <w:t xml:space="preserve">7,383 orders, up 4% year over year</w:t>
      </w:r>
      <w:r>
        <w:t xml:space="preserve">. Community count should provide a tailwind—management previously expected 3%–5% growth during each remaining quarter of 2026—but absorption per community is the cleaner measure of underlying demand.</w:t>
      </w:r>
    </w:p>
    <w:p>
      <w:pPr>
        <w:pStyle w:val="BodyText"/>
      </w:pPr>
      <w:r>
        <w:t xml:space="preserve">In Q1:</w:t>
      </w:r>
    </w:p>
    <w:p>
      <w:pPr>
        <w:pStyle w:val="Compact"/>
        <w:numPr>
          <w:ilvl w:val="0"/>
          <w:numId w:val="1002"/>
        </w:numPr>
      </w:pPr>
      <w:r>
        <w:t xml:space="preserve">Orders rose 3% to 8,034.</w:t>
      </w:r>
    </w:p>
    <w:p>
      <w:pPr>
        <w:pStyle w:val="Compact"/>
        <w:numPr>
          <w:ilvl w:val="0"/>
          <w:numId w:val="1002"/>
        </w:numPr>
      </w:pPr>
      <w:r>
        <w:t xml:space="preserve">Average community count rose 9%.</w:t>
      </w:r>
    </w:p>
    <w:p>
      <w:pPr>
        <w:pStyle w:val="Compact"/>
        <w:numPr>
          <w:ilvl w:val="0"/>
          <w:numId w:val="1002"/>
        </w:numPr>
      </w:pPr>
      <w:r>
        <w:t xml:space="preserve">Absorption fell 5%.</w:t>
      </w:r>
    </w:p>
    <w:p>
      <w:pPr>
        <w:pStyle w:val="Compact"/>
        <w:numPr>
          <w:ilvl w:val="0"/>
          <w:numId w:val="1002"/>
        </w:numPr>
      </w:pPr>
      <w:r>
        <w:t xml:space="preserve">First-time orders declined slightly.</w:t>
      </w:r>
    </w:p>
    <w:p>
      <w:pPr>
        <w:pStyle w:val="Compact"/>
        <w:numPr>
          <w:ilvl w:val="0"/>
          <w:numId w:val="1002"/>
        </w:numPr>
      </w:pPr>
      <w:r>
        <w:t xml:space="preserve">Move-up and active-adult orders rose 3% and 14%, respectively.</w:t>
      </w:r>
    </w:p>
    <w:p>
      <w:pPr>
        <w:pStyle w:val="FirstParagraph"/>
      </w:pPr>
      <w:r>
        <w:t xml:space="preserve">A consolidated order increase driven mainly by additional communities would be less compelling than stable or improving absorption. Investors should also compare gross orders with cancellations; weaker buyer confidence can show up in both slower traffic conversion and higher cancellations.</w:t>
      </w:r>
    </w:p>
    <w:p>
      <w:pPr>
        <w:pStyle w:val="BodyText"/>
      </w:pPr>
      <w:r>
        <w:rPr>
          <w:b/>
          <w:bCs/>
        </w:rPr>
        <w:t xml:space="preserve">Constructive:</w:t>
      </w:r>
      <w:r>
        <w:t xml:space="preserve"> </w:t>
      </w:r>
      <w:r>
        <w:t xml:space="preserve">Orders near or above consensus, stable cancellation rates and evidence that July demand has followed normal seasonality.</w:t>
      </w:r>
    </w:p>
    <w:p>
      <w:pPr>
        <w:pStyle w:val="BodyText"/>
      </w:pPr>
      <w:r>
        <w:rPr>
          <w:b/>
          <w:bCs/>
        </w:rPr>
        <w:t xml:space="preserve">Concerning:</w:t>
      </w:r>
      <w:r>
        <w:t xml:space="preserve"> </w:t>
      </w:r>
      <w:r>
        <w:t xml:space="preserve">Flat or declining orders despite community growth, particularly if management cites weaker late-quarter traffic or qualification problems.</w:t>
      </w:r>
    </w:p>
    <w:bookmarkEnd w:id="11"/>
    <w:bookmarkStart w:id="12" w:name="Xeab2d163ddaadceb26e067f214cf61ec56cc36e"/>
    <w:p>
      <w:pPr>
        <w:pStyle w:val="Heading3"/>
      </w:pPr>
      <w:r>
        <w:t xml:space="preserve">2. Incentives and gross-margin trajectory</w:t>
      </w:r>
    </w:p>
    <w:p>
      <w:pPr>
        <w:pStyle w:val="FirstParagraph"/>
      </w:pPr>
      <w:r>
        <w:t xml:space="preserve">Management explicitly forecast Q2 as the</w:t>
      </w:r>
      <w:r>
        <w:t xml:space="preserve"> </w:t>
      </w:r>
      <w:r>
        <w:rPr>
          <w:b/>
          <w:bCs/>
        </w:rPr>
        <w:t xml:space="preserve">gross-margin low point of 2026</w:t>
      </w:r>
      <w:r>
        <w:t xml:space="preserve">. Q1 incentives reached 10.9% of gross sales price, up 290 basis points year over year, as Pulte worked through discounted spec homes.</w:t>
      </w:r>
    </w:p>
    <w:p>
      <w:pPr>
        <w:pStyle w:val="BodyText"/>
      </w:pPr>
      <w:r>
        <w:t xml:space="preserve">The second-quarter margin itself should therefore be judged against the 24.1%–24.4% guide. More important will be:</w:t>
      </w:r>
    </w:p>
    <w:p>
      <w:pPr>
        <w:pStyle w:val="Compact"/>
        <w:numPr>
          <w:ilvl w:val="0"/>
          <w:numId w:val="1003"/>
        </w:numPr>
      </w:pPr>
      <w:r>
        <w:t xml:space="preserve">Current incentives on new sales.</w:t>
      </w:r>
    </w:p>
    <w:p>
      <w:pPr>
        <w:pStyle w:val="Compact"/>
        <w:numPr>
          <w:ilvl w:val="0"/>
          <w:numId w:val="1003"/>
        </w:numPr>
      </w:pPr>
      <w:r>
        <w:t xml:space="preserve">The incentive embedded in backlog.</w:t>
      </w:r>
    </w:p>
    <w:p>
      <w:pPr>
        <w:pStyle w:val="Compact"/>
        <w:numPr>
          <w:ilvl w:val="0"/>
          <w:numId w:val="1003"/>
        </w:numPr>
      </w:pPr>
      <w:r>
        <w:t xml:space="preserve">The proportion of incentives going to mortgage-rate buydowns rather than direct price reductions.</w:t>
      </w:r>
    </w:p>
    <w:p>
      <w:pPr>
        <w:pStyle w:val="Compact"/>
        <w:numPr>
          <w:ilvl w:val="0"/>
          <w:numId w:val="1003"/>
        </w:numPr>
      </w:pPr>
      <w:r>
        <w:t xml:space="preserve">Any Q3 gross-margin guidance.</w:t>
      </w:r>
    </w:p>
    <w:p>
      <w:pPr>
        <w:pStyle w:val="Compact"/>
        <w:numPr>
          <w:ilvl w:val="0"/>
          <w:numId w:val="1003"/>
        </w:numPr>
      </w:pPr>
      <w:r>
        <w:t xml:space="preserve">Whether full-year margin guidance is maintained.</w:t>
      </w:r>
    </w:p>
    <w:p>
      <w:pPr>
        <w:pStyle w:val="FirstParagraph"/>
      </w:pPr>
      <w:r>
        <w:t xml:space="preserve">Management’s full-year home-sale gross-margin target remains</w:t>
      </w:r>
      <w:r>
        <w:t xml:space="preserve"> </w:t>
      </w:r>
      <w:r>
        <w:rPr>
          <w:b/>
          <w:bCs/>
        </w:rPr>
        <w:t xml:space="preserve">24.5%–25.0%, likely toward the low end</w:t>
      </w:r>
      <w:r>
        <w:t xml:space="preserve">. Since the first half is expected to average roughly 24.3%–24.4%, the guide requires a visible recovery during Q3 and Q4.</w:t>
      </w:r>
    </w:p>
    <w:p>
      <w:pPr>
        <w:pStyle w:val="BodyText"/>
      </w:pPr>
      <w:r>
        <w:t xml:space="preserve">The expected recovery rests mainly on a richer mix of higher-margin build-to-order and active-adult closings, plus fewer heavily discounted finished specs. If management no longer sees that recovery, earnings estimates for the second half and 2027 would likely move lower.</w:t>
      </w:r>
    </w:p>
    <w:bookmarkEnd w:id="12"/>
    <w:bookmarkStart w:id="13" w:name="Xc00de07ead1263087f47fab8c9944b9bf6cc700"/>
    <w:p>
      <w:pPr>
        <w:pStyle w:val="Heading3"/>
      </w:pPr>
      <w:r>
        <w:t xml:space="preserve">3. Spec reduction and the build-to-order transition</w:t>
      </w:r>
    </w:p>
    <w:p>
      <w:pPr>
        <w:pStyle w:val="FirstParagraph"/>
      </w:pPr>
      <w:r>
        <w:t xml:space="preserve">Pulte has been shifting back toward its historical</w:t>
      </w:r>
      <w:r>
        <w:t xml:space="preserve"> </w:t>
      </w:r>
      <w:r>
        <w:rPr>
          <w:b/>
          <w:bCs/>
        </w:rPr>
        <w:t xml:space="preserve">60% build-to-order/40% spec</w:t>
      </w:r>
      <w:r>
        <w:t xml:space="preserve"> </w:t>
      </w:r>
      <w:r>
        <w:t xml:space="preserve">model. In Q1:</w:t>
      </w:r>
    </w:p>
    <w:p>
      <w:pPr>
        <w:pStyle w:val="Compact"/>
        <w:numPr>
          <w:ilvl w:val="0"/>
          <w:numId w:val="1004"/>
        </w:numPr>
      </w:pPr>
      <w:r>
        <w:t xml:space="preserve">Build-to-order homes were 43% of new orders, versus 40% a year earlier.</w:t>
      </w:r>
    </w:p>
    <w:p>
      <w:pPr>
        <w:pStyle w:val="Compact"/>
        <w:numPr>
          <w:ilvl w:val="0"/>
          <w:numId w:val="1004"/>
        </w:numPr>
      </w:pPr>
      <w:r>
        <w:t xml:space="preserve">Total spec inventory fell by almost 900 homes sequentially.</w:t>
      </w:r>
    </w:p>
    <w:p>
      <w:pPr>
        <w:pStyle w:val="Compact"/>
        <w:numPr>
          <w:ilvl w:val="0"/>
          <w:numId w:val="1004"/>
        </w:numPr>
      </w:pPr>
      <w:r>
        <w:t xml:space="preserve">Finished specs fell by nearly 500 to 1,515.</w:t>
      </w:r>
    </w:p>
    <w:p>
      <w:pPr>
        <w:pStyle w:val="Compact"/>
        <w:numPr>
          <w:ilvl w:val="0"/>
          <w:numId w:val="1004"/>
        </w:numPr>
      </w:pPr>
      <w:r>
        <w:t xml:space="preserve">Finished specs averaged 1.4 per community, within the company’s 1.0–1.5 target.</w:t>
      </w:r>
    </w:p>
    <w:p>
      <w:pPr>
        <w:pStyle w:val="Compact"/>
        <w:numPr>
          <w:ilvl w:val="0"/>
          <w:numId w:val="1004"/>
        </w:numPr>
      </w:pPr>
      <w:r>
        <w:t xml:space="preserve">Starts totaled approximately 6,500 versus 8,034 orders.</w:t>
      </w:r>
    </w:p>
    <w:p>
      <w:pPr>
        <w:pStyle w:val="FirstParagraph"/>
      </w:pPr>
      <w:r>
        <w:t xml:space="preserve">This transition is strategically important. Selling earlier in the construction cycle should reduce incentives, improve inventory turns and make margins less dependent on clearing completed homes.</w:t>
      </w:r>
    </w:p>
    <w:p>
      <w:pPr>
        <w:pStyle w:val="BodyText"/>
      </w:pPr>
      <w:r>
        <w:t xml:space="preserve">A favorable Q2 update would show finished specs remaining within the target range while build-to-order orders continue rising. A renewed increase in aged or finished inventory could signal that demand slowed faster than Pulte adjusted starts.</w:t>
      </w:r>
    </w:p>
    <w:bookmarkEnd w:id="13"/>
    <w:bookmarkStart w:id="14" w:name="X3b40b3fc6fd51964bcce8563615419c86dc5397"/>
    <w:p>
      <w:pPr>
        <w:pStyle w:val="Heading3"/>
      </w:pPr>
      <w:r>
        <w:t xml:space="preserve">4. Full-year deliveries and the Q3 outlook</w:t>
      </w:r>
    </w:p>
    <w:p>
      <w:pPr>
        <w:pStyle w:val="FirstParagraph"/>
      </w:pPr>
      <w:r>
        <w:t xml:space="preserve">Management’s existing 2026 guidance includes:</w:t>
      </w:r>
    </w:p>
    <w:p>
      <w:pPr>
        <w:pStyle w:val="Compact"/>
        <w:numPr>
          <w:ilvl w:val="0"/>
          <w:numId w:val="1005"/>
        </w:numPr>
      </w:pPr>
      <w:r>
        <w:rPr>
          <w:b/>
          <w:bCs/>
        </w:rPr>
        <w:t xml:space="preserve">28,500–29,000 deliveries</w:t>
      </w:r>
    </w:p>
    <w:p>
      <w:pPr>
        <w:pStyle w:val="Compact"/>
        <w:numPr>
          <w:ilvl w:val="0"/>
          <w:numId w:val="1005"/>
        </w:numPr>
      </w:pPr>
      <m:oMath>
        <m:r>
          <m:t>550</m:t>
        </m:r>
        <m:r>
          <m:rPr>
            <m:sty m:val="p"/>
          </m:rPr>
          <m:t>,</m:t>
        </m:r>
        <m:r>
          <m:t>000</m:t>
        </m:r>
        <m:r>
          <m:rPr>
            <m:sty m:val="p"/>
          </m:rPr>
          <m:t>–</m:t>
        </m:r>
      </m:oMath>
      <w:r>
        <w:rPr>
          <w:b/>
          <w:bCs/>
        </w:rPr>
        <w:t xml:space="preserve">560,000 full-year ASP</w:t>
      </w:r>
    </w:p>
    <w:p>
      <w:pPr>
        <w:pStyle w:val="Compact"/>
        <w:numPr>
          <w:ilvl w:val="0"/>
          <w:numId w:val="1005"/>
        </w:numPr>
      </w:pPr>
      <w:r>
        <w:rPr>
          <w:b/>
          <w:bCs/>
        </w:rPr>
        <w:t xml:space="preserve">24.5%–25.0% home-sale gross margin</w:t>
      </w:r>
    </w:p>
    <w:p>
      <w:pPr>
        <w:pStyle w:val="Compact"/>
        <w:numPr>
          <w:ilvl w:val="0"/>
          <w:numId w:val="1005"/>
        </w:numPr>
      </w:pPr>
      <w:r>
        <w:rPr>
          <w:b/>
          <w:bCs/>
        </w:rPr>
        <w:t xml:space="preserve">9.5%–9.7% SG&amp;A as a percentage of home-sale revenue</w:t>
      </w:r>
    </w:p>
    <w:p>
      <w:pPr>
        <w:pStyle w:val="Compact"/>
        <w:numPr>
          <w:ilvl w:val="0"/>
          <w:numId w:val="1005"/>
        </w:numPr>
      </w:pPr>
      <w:r>
        <w:t xml:space="preserve">Approximately</w:t>
      </w:r>
      <w:r>
        <w:t xml:space="preserve"> </w:t>
      </w:r>
      <w:r>
        <w:rPr>
          <w:b/>
          <w:bCs/>
        </w:rPr>
        <w:t xml:space="preserve">$5.4 billion</w:t>
      </w:r>
      <w:r>
        <w:t xml:space="preserve"> </w:t>
      </w:r>
      <w:r>
        <w:t xml:space="preserve">of land acquisition and development spending</w:t>
      </w:r>
    </w:p>
    <w:p>
      <w:pPr>
        <w:pStyle w:val="Compact"/>
        <w:numPr>
          <w:ilvl w:val="0"/>
          <w:numId w:val="1005"/>
        </w:numPr>
      </w:pPr>
      <w:r>
        <w:t xml:space="preserve">Approximately</w:t>
      </w:r>
      <w:r>
        <w:t xml:space="preserve"> </w:t>
      </w:r>
      <w:r>
        <w:rPr>
          <w:b/>
          <w:bCs/>
        </w:rPr>
        <w:t xml:space="preserve">$1 billion</w:t>
      </w:r>
      <w:r>
        <w:t xml:space="preserve"> </w:t>
      </w:r>
      <w:r>
        <w:t xml:space="preserve">of cash generation</w:t>
      </w:r>
    </w:p>
    <w:p>
      <w:pPr>
        <w:pStyle w:val="FirstParagraph"/>
      </w:pPr>
      <w:r>
        <w:t xml:space="preserve">Based on Q1 actual deliveries and Q2 consensus, Pulte would need approximately</w:t>
      </w:r>
      <w:r>
        <w:t xml:space="preserve"> </w:t>
      </w:r>
      <w:r>
        <w:rPr>
          <w:b/>
          <w:bCs/>
        </w:rPr>
        <w:t xml:space="preserve">15,400–15,900 closings in the second half</w:t>
      </w:r>
      <w:r>
        <w:t xml:space="preserve"> </w:t>
      </w:r>
      <w:r>
        <w:t xml:space="preserve">to reach its annual target. That is achievable, but it places importance on backlog conversion and continued order generation.</w:t>
      </w:r>
    </w:p>
    <w:p>
      <w:pPr>
        <w:pStyle w:val="BodyText"/>
      </w:pPr>
      <w:r>
        <w:t xml:space="preserve">Street expectations for Q3 are approximately</w:t>
      </w:r>
      <w:r>
        <w:t xml:space="preserve"> </w:t>
      </w:r>
      <w:r>
        <w:rPr>
          <w:b/>
          <w:bCs/>
        </w:rPr>
        <w:t xml:space="preserve">$2.78 of EPS and $4.4 billion of revenue</w:t>
      </w:r>
      <w:r>
        <w:t xml:space="preserve">. The stock is more likely to react to guidance around those figures than to a modest Q2 beat or miss.</w:t>
      </w:r>
    </w:p>
    <w:p>
      <w:pPr>
        <w:pStyle w:val="BodyText"/>
      </w:pPr>
      <w:r>
        <w:t xml:space="preserve">Given D.R. Horton’s reduced delivery outlook after softer-than-expected demand, simply reiterating PHM’s full-year closing range would be a positive signal. A reduction paired with stable margins might be manageable; cuts to both deliveries and margins would be materially more negative.</w:t>
      </w:r>
    </w:p>
    <w:bookmarkEnd w:id="14"/>
    <w:bookmarkStart w:id="15" w:name="X30d4facaaff35cd28707be8d115148f8cf0597d"/>
    <w:p>
      <w:pPr>
        <w:pStyle w:val="Heading3"/>
      </w:pPr>
      <w:r>
        <w:t xml:space="preserve">5. Regional and buyer mix</w:t>
      </w:r>
    </w:p>
    <w:p>
      <w:pPr>
        <w:pStyle w:val="FirstParagraph"/>
      </w:pPr>
      <w:r>
        <w:t xml:space="preserve">Pulte’s exposure to move-up and active-adult buyers is an important relative advantage. Those customers are generally less constrained by monthly mortgage payments and have required fewer incentives than first-time buyers.</w:t>
      </w:r>
    </w:p>
    <w:p>
      <w:pPr>
        <w:pStyle w:val="BodyText"/>
      </w:pPr>
      <w:r>
        <w:t xml:space="preserve">Q1 order trends by region were:</w:t>
      </w:r>
    </w:p>
    <w:p>
      <w:pPr>
        <w:pStyle w:val="Compact"/>
        <w:numPr>
          <w:ilvl w:val="0"/>
          <w:numId w:val="1006"/>
        </w:numPr>
      </w:pPr>
      <w:r>
        <w:rPr>
          <w:b/>
          <w:bCs/>
        </w:rPr>
        <w:t xml:space="preserve">Florida:</w:t>
      </w:r>
      <w:r>
        <w:t xml:space="preserve"> </w:t>
      </w:r>
      <w:r>
        <w:t xml:space="preserve">+18%</w:t>
      </w:r>
    </w:p>
    <w:p>
      <w:pPr>
        <w:pStyle w:val="Compact"/>
        <w:numPr>
          <w:ilvl w:val="0"/>
          <w:numId w:val="1006"/>
        </w:numPr>
      </w:pPr>
      <w:r>
        <w:rPr>
          <w:b/>
          <w:bCs/>
        </w:rPr>
        <w:t xml:space="preserve">Northeast:</w:t>
      </w:r>
      <w:r>
        <w:t xml:space="preserve"> </w:t>
      </w:r>
      <w:r>
        <w:t xml:space="preserve">+9%</w:t>
      </w:r>
    </w:p>
    <w:p>
      <w:pPr>
        <w:pStyle w:val="Compact"/>
        <w:numPr>
          <w:ilvl w:val="0"/>
          <w:numId w:val="1006"/>
        </w:numPr>
      </w:pPr>
      <w:r>
        <w:rPr>
          <w:b/>
          <w:bCs/>
        </w:rPr>
        <w:t xml:space="preserve">Southeast:</w:t>
      </w:r>
      <w:r>
        <w:t xml:space="preserve"> </w:t>
      </w:r>
      <w:r>
        <w:t xml:space="preserve">+5%</w:t>
      </w:r>
    </w:p>
    <w:p>
      <w:pPr>
        <w:pStyle w:val="Compact"/>
        <w:numPr>
          <w:ilvl w:val="0"/>
          <w:numId w:val="1006"/>
        </w:numPr>
      </w:pPr>
      <w:r>
        <w:rPr>
          <w:b/>
          <w:bCs/>
        </w:rPr>
        <w:t xml:space="preserve">Texas:</w:t>
      </w:r>
      <w:r>
        <w:t xml:space="preserve"> </w:t>
      </w:r>
      <w:r>
        <w:t xml:space="preserve">-2%</w:t>
      </w:r>
    </w:p>
    <w:p>
      <w:pPr>
        <w:pStyle w:val="Compact"/>
        <w:numPr>
          <w:ilvl w:val="0"/>
          <w:numId w:val="1006"/>
        </w:numPr>
      </w:pPr>
      <w:r>
        <w:rPr>
          <w:b/>
          <w:bCs/>
        </w:rPr>
        <w:t xml:space="preserve">West:</w:t>
      </w:r>
      <w:r>
        <w:t xml:space="preserve"> </w:t>
      </w:r>
      <w:r>
        <w:t xml:space="preserve">-3%</w:t>
      </w:r>
    </w:p>
    <w:p>
      <w:pPr>
        <w:pStyle w:val="Compact"/>
        <w:numPr>
          <w:ilvl w:val="0"/>
          <w:numId w:val="1006"/>
        </w:numPr>
      </w:pPr>
      <w:r>
        <w:rPr>
          <w:b/>
          <w:bCs/>
        </w:rPr>
        <w:t xml:space="preserve">Midwest:</w:t>
      </w:r>
      <w:r>
        <w:t xml:space="preserve"> </w:t>
      </w:r>
      <w:r>
        <w:t xml:space="preserve">-7%</w:t>
      </w:r>
    </w:p>
    <w:p>
      <w:pPr>
        <w:pStyle w:val="FirstParagraph"/>
      </w:pPr>
      <w:r>
        <w:t xml:space="preserve">Florida was the main growth engine, while Texas and the West remained more promotional. D.R. Horton’s latest comments suggested relatively stable conditions in Florida and the Southeast, but ongoing weakness in parts of the Northwest.</w:t>
      </w:r>
    </w:p>
    <w:p>
      <w:pPr>
        <w:pStyle w:val="BodyText"/>
      </w:pPr>
      <w:r>
        <w:t xml:space="preserve">Watch whether PHM’s Florida momentum continued and whether Texas and the West have found the “clearing price” management discussed in April. A reversal in Florida would be more significant than continued softness in already challenged western markets.</w:t>
      </w:r>
    </w:p>
    <w:bookmarkEnd w:id="15"/>
    <w:bookmarkEnd w:id="16"/>
    <w:bookmarkStart w:id="20" w:name="X5ee421fbfb63216e36f0c5c7104af31a96438e9"/>
    <w:p>
      <w:pPr>
        <w:pStyle w:val="Heading2"/>
      </w:pPr>
      <w:r>
        <w:t xml:space="preserve">Cost and capital-allocation considerations</w:t>
      </w:r>
    </w:p>
    <w:bookmarkStart w:id="17" w:name="construction-costs"/>
    <w:p>
      <w:pPr>
        <w:pStyle w:val="Heading3"/>
      </w:pPr>
      <w:r>
        <w:t xml:space="preserve">Construction costs</w:t>
      </w:r>
    </w:p>
    <w:p>
      <w:pPr>
        <w:pStyle w:val="FirstParagraph"/>
      </w:pPr>
      <w:r>
        <w:t xml:space="preserve">Pulte’s Q1 house costs declined 5% year over year to $75 per square foot, led by lumber and broader procurement savings. Management expected house costs to be flat to slightly lower over the remainder of the year.</w:t>
      </w:r>
    </w:p>
    <w:p>
      <w:pPr>
        <w:pStyle w:val="BodyText"/>
      </w:pPr>
      <w:r>
        <w:t xml:space="preserve">Peer results suggest builders are still realizing prior cost reductions, although higher lumber and fuel costs may become a later-quarter headwind. PHM previously estimated that lumber changes take roughly two quarters to reach the income statement.</w:t>
      </w:r>
    </w:p>
    <w:p>
      <w:pPr>
        <w:pStyle w:val="BodyText"/>
      </w:pPr>
      <w:r>
        <w:t xml:space="preserve">Near-term cost savings could cushion incentives, but they are unlikely to eliminate the importance of sales mix and pricing.</w:t>
      </w:r>
    </w:p>
    <w:bookmarkEnd w:id="17"/>
    <w:bookmarkStart w:id="18" w:name="land-costs-and-impairments"/>
    <w:p>
      <w:pPr>
        <w:pStyle w:val="Heading3"/>
      </w:pPr>
      <w:r>
        <w:t xml:space="preserve">Land costs and impairments</w:t>
      </w:r>
    </w:p>
    <w:p>
      <w:pPr>
        <w:pStyle w:val="FirstParagraph"/>
      </w:pPr>
      <w:r>
        <w:t xml:space="preserve">Land acquisition and development costs remain a margin pressure because today’s closings reflect land purchased at higher prices in prior years. Pulte has said current land pricing is beginning to stabilize or decline in certain markets, but those savings generally will not reach earnings for 18–24 months.</w:t>
      </w:r>
    </w:p>
    <w:p>
      <w:pPr>
        <w:pStyle w:val="BodyText"/>
      </w:pPr>
      <w:r>
        <w:t xml:space="preserve">Q1 included only about</w:t>
      </w:r>
      <w:r>
        <w:t xml:space="preserve"> </w:t>
      </w:r>
      <w:r>
        <w:rPr>
          <w:b/>
          <w:bCs/>
        </w:rPr>
        <w:t xml:space="preserve">$6 million</w:t>
      </w:r>
      <w:r>
        <w:t xml:space="preserve">, or 20 basis points, of home-sale land impairments. A material increase in impairments or deposit write-offs would suggest localized price reductions are spreading beyond a few communities.</w:t>
      </w:r>
    </w:p>
    <w:bookmarkEnd w:id="18"/>
    <w:bookmarkStart w:id="19" w:name="buybacks-and-balance-sheet"/>
    <w:p>
      <w:pPr>
        <w:pStyle w:val="Heading3"/>
      </w:pPr>
      <w:r>
        <w:t xml:space="preserve">Buybacks and balance sheet</w:t>
      </w:r>
    </w:p>
    <w:p>
      <w:pPr>
        <w:pStyle w:val="FirstParagraph"/>
      </w:pPr>
      <w:r>
        <w:t xml:space="preserve">Pulte ended Q1 with:</w:t>
      </w:r>
    </w:p>
    <w:p>
      <w:pPr>
        <w:pStyle w:val="Compact"/>
        <w:numPr>
          <w:ilvl w:val="0"/>
          <w:numId w:val="1007"/>
        </w:numPr>
      </w:pPr>
      <w:r>
        <w:rPr>
          <w:b/>
          <w:bCs/>
        </w:rPr>
        <w:t xml:space="preserve">$1.8 billion of cash</w:t>
      </w:r>
    </w:p>
    <w:p>
      <w:pPr>
        <w:pStyle w:val="Compact"/>
        <w:numPr>
          <w:ilvl w:val="0"/>
          <w:numId w:val="1007"/>
        </w:numPr>
      </w:pPr>
      <w:r>
        <w:t xml:space="preserve">Effectively</w:t>
      </w:r>
      <w:r>
        <w:t xml:space="preserve"> </w:t>
      </w:r>
      <w:r>
        <w:rPr>
          <w:b/>
          <w:bCs/>
        </w:rPr>
        <w:t xml:space="preserve">zero net debt to capital</w:t>
      </w:r>
    </w:p>
    <w:p>
      <w:pPr>
        <w:pStyle w:val="Compact"/>
        <w:numPr>
          <w:ilvl w:val="0"/>
          <w:numId w:val="1007"/>
        </w:numPr>
      </w:pPr>
      <w:r>
        <w:t xml:space="preserve">A newly expanded share-repurchase authorization, bringing total availability to approximately</w:t>
      </w:r>
      <w:r>
        <w:t xml:space="preserve"> </w:t>
      </w:r>
      <w:r>
        <w:rPr>
          <w:b/>
          <w:bCs/>
        </w:rPr>
        <w:t xml:space="preserve">$2.1 billion</w:t>
      </w:r>
    </w:p>
    <w:p>
      <w:pPr>
        <w:pStyle w:val="Compact"/>
        <w:numPr>
          <w:ilvl w:val="0"/>
          <w:numId w:val="1007"/>
        </w:numPr>
      </w:pPr>
      <w:r>
        <w:t xml:space="preserve">2.4 million shares repurchased for $308 million during Q1</w:t>
      </w:r>
    </w:p>
    <w:p>
      <w:pPr>
        <w:pStyle w:val="FirstParagraph"/>
      </w:pPr>
      <w:r>
        <w:t xml:space="preserve">The diluted share count was already down 5% year over year, providing meaningful EPS support. Investors should expect continued repurchases funded by cash generation rather than a debt-financed acceleration; management has explicitly rejected levering the balance sheet simply to buy back more shares.</w:t>
      </w:r>
    </w:p>
    <w:bookmarkEnd w:id="19"/>
    <w:bookmarkEnd w:id="20"/>
    <w:bookmarkStart w:id="21" w:name="stock-setup"/>
    <w:p>
      <w:pPr>
        <w:pStyle w:val="Heading2"/>
      </w:pPr>
      <w:r>
        <w:t xml:space="preserve">Stock setup</w:t>
      </w:r>
    </w:p>
    <w:p>
      <w:pPr>
        <w:pStyle w:val="FirstParagraph"/>
      </w:pPr>
      <w:r>
        <w:t xml:space="preserve">PHM closed July 21 at</w:t>
      </w:r>
      <w:r>
        <w:t xml:space="preserve"> </w:t>
      </w:r>
      <w:r>
        <w:rPr>
          <w:b/>
          <w:bCs/>
        </w:rPr>
        <w:t xml:space="preserve">$124.29</w:t>
      </w:r>
      <w:r>
        <w:t xml:space="preserve">:</w:t>
      </w:r>
    </w:p>
    <w:p>
      <w:pPr>
        <w:pStyle w:val="Compact"/>
        <w:numPr>
          <w:ilvl w:val="0"/>
          <w:numId w:val="1008"/>
        </w:numPr>
      </w:pPr>
      <w:r>
        <w:t xml:space="preserve">Approximately</w:t>
      </w:r>
      <w:r>
        <w:t xml:space="preserve"> </w:t>
      </w:r>
      <w:r>
        <w:rPr>
          <w:b/>
          <w:bCs/>
        </w:rPr>
        <w:t xml:space="preserve">4% above</w:t>
      </w:r>
      <w:r>
        <w:t xml:space="preserve"> </w:t>
      </w:r>
      <w:r>
        <w:t xml:space="preserve">its January 2 close.</w:t>
      </w:r>
    </w:p>
    <w:p>
      <w:pPr>
        <w:pStyle w:val="Compact"/>
        <w:numPr>
          <w:ilvl w:val="0"/>
          <w:numId w:val="1008"/>
        </w:numPr>
      </w:pPr>
      <w:r>
        <w:t xml:space="preserve">Approximately</w:t>
      </w:r>
      <w:r>
        <w:t xml:space="preserve"> </w:t>
      </w:r>
      <w:r>
        <w:rPr>
          <w:b/>
          <w:bCs/>
        </w:rPr>
        <w:t xml:space="preserve">3% below</w:t>
      </w:r>
      <w:r>
        <w:t xml:space="preserve"> </w:t>
      </w:r>
      <w:r>
        <w:t xml:space="preserve">its April 22 pre-Q1-earnings close.</w:t>
      </w:r>
    </w:p>
    <w:p>
      <w:pPr>
        <w:pStyle w:val="Compact"/>
        <w:numPr>
          <w:ilvl w:val="0"/>
          <w:numId w:val="1008"/>
        </w:numPr>
      </w:pPr>
      <w:r>
        <w:t xml:space="preserve">Well behind the broader market’s year-to-date gain.</w:t>
      </w:r>
    </w:p>
    <w:p>
      <w:pPr>
        <w:pStyle w:val="FirstParagraph"/>
      </w:pPr>
      <w:r>
        <w:t xml:space="preserve">The setup does not appear overly optimistic. However, D.R. Horton’s cautious volume commentary immediately before PHM’s report has increased sensitivity to any reduction in Pulte’s annual guidance.</w:t>
      </w:r>
    </w:p>
    <w:p>
      <w:pPr>
        <w:pStyle w:val="BodyText"/>
      </w:pPr>
      <w:r>
        <w:t xml:space="preserve">The stock could likely absorb an in-line Q2 margin if orders and the second-half margin recovery remain credible. Conversely, a headline EPS beat generated by lower taxes or buybacks would carry limited weight if management signals weaker demand or higher incentives.</w:t>
      </w:r>
    </w:p>
    <w:bookmarkEnd w:id="21"/>
    <w:bookmarkStart w:id="25" w:name="scenario-framework"/>
    <w:p>
      <w:pPr>
        <w:pStyle w:val="Heading2"/>
      </w:pPr>
      <w:r>
        <w:t xml:space="preserve">Scenario framework</w:t>
      </w:r>
    </w:p>
    <w:bookmarkStart w:id="22" w:name="bull-case"/>
    <w:p>
      <w:pPr>
        <w:pStyle w:val="Heading3"/>
      </w:pPr>
      <w:r>
        <w:t xml:space="preserve">Bull case</w:t>
      </w:r>
    </w:p>
    <w:p>
      <w:pPr>
        <w:pStyle w:val="Compact"/>
        <w:numPr>
          <w:ilvl w:val="0"/>
          <w:numId w:val="1009"/>
        </w:numPr>
      </w:pPr>
      <w:r>
        <w:t xml:space="preserve">Orders exceed roughly 7,400 with stable absorption.</w:t>
      </w:r>
    </w:p>
    <w:p>
      <w:pPr>
        <w:pStyle w:val="Compact"/>
        <w:numPr>
          <w:ilvl w:val="0"/>
          <w:numId w:val="1009"/>
        </w:numPr>
      </w:pPr>
      <w:r>
        <w:t xml:space="preserve">Cancellations remain controlled.</w:t>
      </w:r>
    </w:p>
    <w:p>
      <w:pPr>
        <w:pStyle w:val="Compact"/>
        <w:numPr>
          <w:ilvl w:val="0"/>
          <w:numId w:val="1009"/>
        </w:numPr>
      </w:pPr>
      <w:r>
        <w:t xml:space="preserve">Q2 margin reaches or exceeds the top of the 24.1%–24.4% range.</w:t>
      </w:r>
    </w:p>
    <w:p>
      <w:pPr>
        <w:pStyle w:val="Compact"/>
        <w:numPr>
          <w:ilvl w:val="0"/>
          <w:numId w:val="1009"/>
        </w:numPr>
      </w:pPr>
      <w:r>
        <w:t xml:space="preserve">Incentives stabilize or decline as spec exposure falls.</w:t>
      </w:r>
    </w:p>
    <w:p>
      <w:pPr>
        <w:pStyle w:val="Compact"/>
        <w:numPr>
          <w:ilvl w:val="0"/>
          <w:numId w:val="1009"/>
        </w:numPr>
      </w:pPr>
      <w:r>
        <w:t xml:space="preserve">Management reiterates 28,500–29,000 full-year deliveries.</w:t>
      </w:r>
    </w:p>
    <w:p>
      <w:pPr>
        <w:pStyle w:val="Compact"/>
        <w:numPr>
          <w:ilvl w:val="0"/>
          <w:numId w:val="1009"/>
        </w:numPr>
      </w:pPr>
      <w:r>
        <w:t xml:space="preserve">Full-year gross-margin guidance remains intact, with clear Q3 improvement.</w:t>
      </w:r>
    </w:p>
    <w:p>
      <w:pPr>
        <w:pStyle w:val="Compact"/>
        <w:numPr>
          <w:ilvl w:val="0"/>
          <w:numId w:val="1009"/>
        </w:numPr>
      </w:pPr>
      <w:r>
        <w:t xml:space="preserve">Florida stays strong and Texas/West conditions stabilize.</w:t>
      </w:r>
    </w:p>
    <w:p>
      <w:pPr>
        <w:pStyle w:val="Compact"/>
        <w:numPr>
          <w:ilvl w:val="0"/>
          <w:numId w:val="1009"/>
        </w:numPr>
      </w:pPr>
      <w:r>
        <w:t xml:space="preserve">Buybacks remain robust.</w:t>
      </w:r>
    </w:p>
    <w:p>
      <w:pPr>
        <w:pStyle w:val="FirstParagraph"/>
      </w:pPr>
      <w:r>
        <w:t xml:space="preserve">This would support the view that Pulte’s buyer mix and inventory discipline allow it to defend margins better than peers.</w:t>
      </w:r>
    </w:p>
    <w:bookmarkEnd w:id="22"/>
    <w:bookmarkStart w:id="23" w:name="base-case"/>
    <w:p>
      <w:pPr>
        <w:pStyle w:val="Heading3"/>
      </w:pPr>
      <w:r>
        <w:t xml:space="preserve">Base case</w:t>
      </w:r>
    </w:p>
    <w:p>
      <w:pPr>
        <w:pStyle w:val="Compact"/>
        <w:numPr>
          <w:ilvl w:val="0"/>
          <w:numId w:val="1010"/>
        </w:numPr>
      </w:pPr>
      <w:r>
        <w:t xml:space="preserve">EPS and revenue are close to consensus.</w:t>
      </w:r>
    </w:p>
    <w:p>
      <w:pPr>
        <w:pStyle w:val="Compact"/>
        <w:numPr>
          <w:ilvl w:val="0"/>
          <w:numId w:val="1010"/>
        </w:numPr>
      </w:pPr>
      <w:r>
        <w:t xml:space="preserve">Orders rise modestly but are largely community-count driven.</w:t>
      </w:r>
    </w:p>
    <w:p>
      <w:pPr>
        <w:pStyle w:val="Compact"/>
        <w:numPr>
          <w:ilvl w:val="0"/>
          <w:numId w:val="1010"/>
        </w:numPr>
      </w:pPr>
      <w:r>
        <w:t xml:space="preserve">Gross margin lands near 24.3%.</w:t>
      </w:r>
    </w:p>
    <w:p>
      <w:pPr>
        <w:pStyle w:val="Compact"/>
        <w:numPr>
          <w:ilvl w:val="0"/>
          <w:numId w:val="1010"/>
        </w:numPr>
      </w:pPr>
      <w:r>
        <w:t xml:space="preserve">Management reiterates annual guidance while emphasizing the lower end of the margin range.</w:t>
      </w:r>
    </w:p>
    <w:p>
      <w:pPr>
        <w:pStyle w:val="Compact"/>
        <w:numPr>
          <w:ilvl w:val="0"/>
          <w:numId w:val="1010"/>
        </w:numPr>
      </w:pPr>
      <w:r>
        <w:t xml:space="preserve">July demand is described as seasonal but cautious.</w:t>
      </w:r>
    </w:p>
    <w:p>
      <w:pPr>
        <w:pStyle w:val="Compact"/>
        <w:numPr>
          <w:ilvl w:val="0"/>
          <w:numId w:val="1010"/>
        </w:numPr>
      </w:pPr>
      <w:r>
        <w:t xml:space="preserve">Incentives remain elevated.</w:t>
      </w:r>
    </w:p>
    <w:p>
      <w:pPr>
        <w:pStyle w:val="FirstParagraph"/>
      </w:pPr>
      <w:r>
        <w:t xml:space="preserve">This outcome would be fundamentally acceptable, although the initial stock reaction could depend on the exact Q3 margin and delivery outlook.</w:t>
      </w:r>
    </w:p>
    <w:bookmarkEnd w:id="23"/>
    <w:bookmarkStart w:id="24" w:name="bear-case"/>
    <w:p>
      <w:pPr>
        <w:pStyle w:val="Heading3"/>
      </w:pPr>
      <w:r>
        <w:t xml:space="preserve">Bear case</w:t>
      </w:r>
    </w:p>
    <w:p>
      <w:pPr>
        <w:pStyle w:val="Compact"/>
        <w:numPr>
          <w:ilvl w:val="0"/>
          <w:numId w:val="1011"/>
        </w:numPr>
      </w:pPr>
      <w:r>
        <w:t xml:space="preserve">Orders miss consensus and absorption deteriorates.</w:t>
      </w:r>
    </w:p>
    <w:p>
      <w:pPr>
        <w:pStyle w:val="Compact"/>
        <w:numPr>
          <w:ilvl w:val="0"/>
          <w:numId w:val="1011"/>
        </w:numPr>
      </w:pPr>
      <w:r>
        <w:t xml:space="preserve">Cancellations rise or July traffic weakens further.</w:t>
      </w:r>
    </w:p>
    <w:p>
      <w:pPr>
        <w:pStyle w:val="Compact"/>
        <w:numPr>
          <w:ilvl w:val="0"/>
          <w:numId w:val="1011"/>
        </w:numPr>
      </w:pPr>
      <w:r>
        <w:t xml:space="preserve">Finished-spec inventory begins rebuilding.</w:t>
      </w:r>
    </w:p>
    <w:p>
      <w:pPr>
        <w:pStyle w:val="Compact"/>
        <w:numPr>
          <w:ilvl w:val="0"/>
          <w:numId w:val="1011"/>
        </w:numPr>
      </w:pPr>
      <w:r>
        <w:t xml:space="preserve">Q2 margin falls below 24.1%, or Q3 margin fails to improve.</w:t>
      </w:r>
    </w:p>
    <w:p>
      <w:pPr>
        <w:pStyle w:val="Compact"/>
        <w:numPr>
          <w:ilvl w:val="0"/>
          <w:numId w:val="1011"/>
        </w:numPr>
      </w:pPr>
      <w:r>
        <w:t xml:space="preserve">Full-year deliveries or gross-margin guidance is reduced.</w:t>
      </w:r>
    </w:p>
    <w:p>
      <w:pPr>
        <w:pStyle w:val="Compact"/>
        <w:numPr>
          <w:ilvl w:val="0"/>
          <w:numId w:val="1011"/>
        </w:numPr>
      </w:pPr>
      <w:r>
        <w:t xml:space="preserve">Weakness spreads from Texas and the West into Florida or active-adult demand.</w:t>
      </w:r>
    </w:p>
    <w:p>
      <w:pPr>
        <w:pStyle w:val="Compact"/>
        <w:numPr>
          <w:ilvl w:val="0"/>
          <w:numId w:val="1011"/>
        </w:numPr>
      </w:pPr>
      <w:r>
        <w:t xml:space="preserve">Land impairments increase.</w:t>
      </w:r>
    </w:p>
    <w:p>
      <w:pPr>
        <w:pStyle w:val="FirstParagraph"/>
      </w:pPr>
      <w:r>
        <w:t xml:space="preserve">The most damaging combination would be weaker orders plus a lower margin outlook, implying that incentives are no longer producing adequate sales velocity.</w:t>
      </w:r>
    </w:p>
    <w:bookmarkEnd w:id="24"/>
    <w:bookmarkEnd w:id="25"/>
    <w:bookmarkStart w:id="26" w:name="bottom-line"/>
    <w:p>
      <w:pPr>
        <w:pStyle w:val="Heading2"/>
      </w:pPr>
      <w:r>
        <w:t xml:space="preserve">Bottom line</w:t>
      </w:r>
    </w:p>
    <w:p>
      <w:pPr>
        <w:pStyle w:val="FirstParagraph"/>
      </w:pPr>
      <w:r>
        <w:t xml:space="preserve">PHM’s Q2 report is primarily a test of management’s claim that</w:t>
      </w:r>
      <w:r>
        <w:t xml:space="preserve"> </w:t>
      </w:r>
      <w:r>
        <w:rPr>
          <w:b/>
          <w:bCs/>
        </w:rPr>
        <w:t xml:space="preserve">second-quarter gross margin represents the trough</w:t>
      </w:r>
      <w:r>
        <w:t xml:space="preserve">. An in-line quarter should be sufficient if Pulte can show:</w:t>
      </w:r>
    </w:p>
    <w:p>
      <w:pPr>
        <w:pStyle w:val="Compact"/>
        <w:numPr>
          <w:ilvl w:val="0"/>
          <w:numId w:val="1012"/>
        </w:numPr>
      </w:pPr>
      <w:r>
        <w:t xml:space="preserve">Positive orders with reasonable absorption.</w:t>
      </w:r>
    </w:p>
    <w:p>
      <w:pPr>
        <w:pStyle w:val="Compact"/>
        <w:numPr>
          <w:ilvl w:val="0"/>
          <w:numId w:val="1012"/>
        </w:numPr>
      </w:pPr>
      <w:r>
        <w:t xml:space="preserve">Continued reduction in spec-related risk.</w:t>
      </w:r>
    </w:p>
    <w:p>
      <w:pPr>
        <w:pStyle w:val="Compact"/>
        <w:numPr>
          <w:ilvl w:val="0"/>
          <w:numId w:val="1012"/>
        </w:numPr>
      </w:pPr>
      <w:r>
        <w:t xml:space="preserve">Stable incentives on current sales.</w:t>
      </w:r>
    </w:p>
    <w:p>
      <w:pPr>
        <w:pStyle w:val="Compact"/>
        <w:numPr>
          <w:ilvl w:val="0"/>
          <w:numId w:val="1012"/>
        </w:numPr>
      </w:pPr>
      <w:r>
        <w:t xml:space="preserve">A credible Q3 margin rebound.</w:t>
      </w:r>
    </w:p>
    <w:p>
      <w:pPr>
        <w:pStyle w:val="Compact"/>
        <w:numPr>
          <w:ilvl w:val="0"/>
          <w:numId w:val="1012"/>
        </w:numPr>
      </w:pPr>
      <w:r>
        <w:t xml:space="preserve">Reaffirmed full-year delivery and margin targets.</w:t>
      </w:r>
    </w:p>
    <w:p>
      <w:pPr>
        <w:pStyle w:val="FirstParagraph"/>
      </w:pPr>
      <w:r>
        <w:t xml:space="preserve">Pulte’s balance sheet, buybacks and exposure to move-up and active-adult buyers provide downside support. But with mortgage rates still elevated and a major peer reporting softer late-quarter demand, the key catalyst will be the forward guide—not the reported EPS figure.</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2026-07-22T00:04:58Z</dcterms:created>
  <dcterms:modified xsi:type="dcterms:W3CDTF">2026-07-22T00:04:58Z</dcterms:modified>
</cp:coreProperties>
</file>

<file path=docProps/custom.xml><?xml version="1.0" encoding="utf-8"?>
<Properties xmlns="http://schemas.openxmlformats.org/officeDocument/2006/custom-properties" xmlns:vt="http://schemas.openxmlformats.org/officeDocument/2006/docPropsVTypes"/>
</file>