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555ebe79f3fe6a858a83c1077f7724918618292"/>
    <w:p>
      <w:pPr>
        <w:pStyle w:val="Heading1"/>
      </w:pPr>
      <w:r>
        <w:t xml:space="preserve">PulteGroup (NYSE: PHM) — 2Q26 Earnings Preview</w:t>
      </w:r>
    </w:p>
    <w:p>
      <w:pPr>
        <w:pStyle w:val="FirstParagraph"/>
      </w:pPr>
      <w:r>
        <w:rPr>
          <w:b/>
          <w:bCs/>
        </w:rPr>
        <w:t xml:space="preserve">Event:</w:t>
      </w:r>
      <w:r>
        <w:t xml:space="preserve"> </w:t>
      </w:r>
      <w:r>
        <w:t xml:space="preserve">Wednesday, July 22, 2026, before market open</w:t>
      </w:r>
      <w:r>
        <w:br/>
      </w:r>
      <w:r>
        <w:rPr>
          <w:b/>
          <w:bCs/>
        </w:rPr>
        <w:t xml:space="preserve">Focus:</w:t>
      </w:r>
      <w:r>
        <w:t xml:space="preserve"> </w:t>
      </w:r>
      <w:r>
        <w:t xml:space="preserve">Whether PHM can sustain order growth and protect its full-year margin/closing outlook while incentives remain elevated.</w:t>
      </w:r>
    </w:p>
    <w:bookmarkStart w:id="9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PulteGroup enters 2Q with expectations calibrated for a</w:t>
      </w:r>
      <w:r>
        <w:t xml:space="preserve"> </w:t>
      </w:r>
      <w:r>
        <w:rPr>
          <w:b/>
          <w:bCs/>
        </w:rPr>
        <w:t xml:space="preserve">year-over-year earnings and margin decline</w:t>
      </w:r>
      <w:r>
        <w:t xml:space="preserve">, but with a more constructive demand narrative than the headline financial comparisons imply. The core debate is no longer whether the company can sell homes—it can—but rather</w:t>
      </w:r>
      <w:r>
        <w:t xml:space="preserve"> </w:t>
      </w:r>
      <w:r>
        <w:rPr>
          <w:b/>
          <w:bCs/>
        </w:rPr>
        <w:t xml:space="preserve">how much incentive spending is required to do so, and whether the mix shift back toward build-to-order (BTO) sales can support a second-half gross-margin recovery.</w:t>
      </w:r>
    </w:p>
    <w:p>
      <w:pPr>
        <w:pStyle w:val="BodyText"/>
      </w:pPr>
      <w:r>
        <w:t xml:space="preserve">The company’s 1Q message was clear:</w:t>
      </w:r>
    </w:p>
    <w:p>
      <w:pPr>
        <w:pStyle w:val="Compact"/>
        <w:numPr>
          <w:ilvl w:val="0"/>
          <w:numId w:val="1001"/>
        </w:numPr>
      </w:pPr>
      <w:r>
        <w:t xml:space="preserve">Orders grew despite affordability pressure.</w:t>
      </w:r>
    </w:p>
    <w:p>
      <w:pPr>
        <w:pStyle w:val="Compact"/>
        <w:numPr>
          <w:ilvl w:val="0"/>
          <w:numId w:val="1001"/>
        </w:numPr>
      </w:pPr>
      <w:r>
        <w:t xml:space="preserve">Finished-spec inventory was brought back to the target range.</w:t>
      </w:r>
    </w:p>
    <w:p>
      <w:pPr>
        <w:pStyle w:val="Compact"/>
        <w:numPr>
          <w:ilvl w:val="0"/>
          <w:numId w:val="1001"/>
        </w:numPr>
      </w:pPr>
      <w:r>
        <w:t xml:space="preserve">2Q gross margin was expected to mark the</w:t>
      </w:r>
      <w:r>
        <w:t xml:space="preserve"> </w:t>
      </w:r>
      <w:r>
        <w:rPr>
          <w:b/>
          <w:bCs/>
        </w:rPr>
        <w:t xml:space="preserve">low point of 2026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Management maintained its full-year outlook, but indicated results were likely to land toward the</w:t>
      </w:r>
      <w:r>
        <w:t xml:space="preserve"> </w:t>
      </w:r>
      <w:r>
        <w:rPr>
          <w:b/>
          <w:bCs/>
        </w:rPr>
        <w:t xml:space="preserve">lower end</w:t>
      </w:r>
      <w:r>
        <w:t xml:space="preserve"> </w:t>
      </w:r>
      <w:r>
        <w:t xml:space="preserve">of the gross-margin range.</w:t>
      </w:r>
    </w:p>
    <w:p>
      <w:pPr>
        <w:pStyle w:val="FirstParagraph"/>
      </w:pPr>
      <w:r>
        <w:t xml:space="preserve">This makes the report primarily a</w:t>
      </w:r>
      <w:r>
        <w:t xml:space="preserve"> </w:t>
      </w:r>
      <w:r>
        <w:rPr>
          <w:b/>
          <w:bCs/>
        </w:rPr>
        <w:t xml:space="preserve">guidance-quality and forward-margin</w:t>
      </w:r>
      <w:r>
        <w:t xml:space="preserve"> </w:t>
      </w:r>
      <w:r>
        <w:t xml:space="preserve">event rather than a simple EPS beat/miss.</w:t>
      </w:r>
    </w:p>
    <w:p>
      <w:r>
        <w:pict>
          <v:rect style="width:0;height:1.5pt" o:hralign="center" o:hrstd="t" o:hr="t"/>
        </w:pict>
      </w:r>
    </w:p>
    <w:bookmarkEnd w:id="9"/>
    <w:bookmarkStart w:id="10" w:name="what-the-street-expects"/>
    <w:p>
      <w:pPr>
        <w:pStyle w:val="Heading2"/>
      </w:pPr>
      <w:r>
        <w:t xml:space="preserve">What the Street expects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YoY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$2.36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$3.03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(22%)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$3.9B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$4.4B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(11%)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Home sale gross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24.3%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(270 bps)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Closings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7,029 homes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7,639 homes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(8%)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new orders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7,383 homes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7,083 homes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+4%</w:t>
            </w:r>
          </w:p>
        </w:tc>
      </w:tr>
    </w:tbl>
    <w:p>
      <w:pPr>
        <w:pStyle w:val="BodyText"/>
      </w:pPr>
      <w:r>
        <w:t xml:space="preserve">Consensus essentially assumes PHM delivers closings near the high end of management’s</w:t>
      </w:r>
      <w:r>
        <w:t xml:space="preserve"> </w:t>
      </w:r>
      <w:r>
        <w:rPr>
          <w:b/>
          <w:bCs/>
        </w:rPr>
        <w:t xml:space="preserve">6,700–7,100 unit</w:t>
      </w:r>
      <w:r>
        <w:t xml:space="preserve"> </w:t>
      </w:r>
      <w:r>
        <w:t xml:space="preserve">guide and gross margin near the center of its</w:t>
      </w:r>
      <w:r>
        <w:t xml:space="preserve"> </w:t>
      </w:r>
      <w:r>
        <w:rPr>
          <w:b/>
          <w:bCs/>
        </w:rPr>
        <w:t xml:space="preserve">24.1%–24.4%</w:t>
      </w:r>
      <w:r>
        <w:t xml:space="preserve"> </w:t>
      </w:r>
      <w:r>
        <w:t xml:space="preserve">range.</w:t>
      </w:r>
    </w:p>
    <w:p>
      <w:pPr>
        <w:pStyle w:val="BodyText"/>
      </w:pPr>
      <w:r>
        <w:t xml:space="preserve">The implied setup is notable: Street expectations already recognize substantial margin compression and lower closings. Thus, the stock’s reaction is likely to depend more heavily on: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Order pace and cancellation rates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Incentive trends and pricing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Back-half gross-margin confidence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Any change to FY26 closings, ASP, land-spend, or cash-flow guidance</w:t>
      </w:r>
    </w:p>
    <w:p>
      <w:r>
        <w:pict>
          <v:rect style="width:0;height:1.5pt" o:hralign="center" o:hrstd="t" o:hr="t"/>
        </w:pict>
      </w:r>
    </w:p>
    <w:bookmarkEnd w:id="10"/>
    <w:bookmarkStart w:id="14" w:name="Xda49d0830559b3b77670d1e12c352bcc3c60a4f"/>
    <w:p>
      <w:pPr>
        <w:pStyle w:val="Heading2"/>
      </w:pPr>
      <w:r>
        <w:t xml:space="preserve">Why PHM may be relatively well positioned</w:t>
      </w:r>
    </w:p>
    <w:bookmarkStart w:id="11" w:name="X272c79e112926a5854f462c3b33598e4b0cff16"/>
    <w:p>
      <w:pPr>
        <w:pStyle w:val="Heading3"/>
      </w:pPr>
      <w:r>
        <w:t xml:space="preserve">1. Demand is holding up better in PHM’s higher-income customer cohorts</w:t>
      </w:r>
    </w:p>
    <w:p>
      <w:pPr>
        <w:pStyle w:val="FirstParagraph"/>
      </w:pPr>
      <w:r>
        <w:t xml:space="preserve">In 1Q, PHM reported order growth in both its move-up and active-adult buyer segments, while first-time-buyer orders were roughly flat. That mix matters because its Pulte and Del Webb brands skew toward more affluent consumers who are generally less constrained by monthly-payment affordability than entry-level buyers.</w:t>
      </w:r>
    </w:p>
    <w:p>
      <w:pPr>
        <w:pStyle w:val="BodyText"/>
      </w:pPr>
      <w:r>
        <w:t xml:space="preserve">Management also highlighted that options and lot-premium spending remained above</w:t>
      </w:r>
      <w:r>
        <w:t xml:space="preserve"> </w:t>
      </w:r>
      <w:r>
        <w:rPr>
          <w:b/>
          <w:bCs/>
        </w:rPr>
        <w:t xml:space="preserve">$100,000 per home</w:t>
      </w:r>
      <w:r>
        <w:t xml:space="preserve">, indicating continued purchasing power among parts of its buyer base.</w:t>
      </w:r>
    </w:p>
    <w:bookmarkEnd w:id="11"/>
    <w:bookmarkStart w:id="12" w:name="Xcec329bc1a8e5700c4a79cc799cddeadf2fd862"/>
    <w:p>
      <w:pPr>
        <w:pStyle w:val="Heading3"/>
      </w:pPr>
      <w:r>
        <w:t xml:space="preserve">2. Florida remains a key differentiator</w:t>
      </w:r>
    </w:p>
    <w:p>
      <w:pPr>
        <w:pStyle w:val="FirstParagraph"/>
      </w:pPr>
      <w:r>
        <w:t xml:space="preserve">PHM’s Florida orders increased</w:t>
      </w:r>
      <w:r>
        <w:t xml:space="preserve"> </w:t>
      </w:r>
      <w:r>
        <w:rPr>
          <w:b/>
          <w:bCs/>
        </w:rPr>
        <w:t xml:space="preserve">18% year over year</w:t>
      </w:r>
      <w:r>
        <w:t xml:space="preserve"> </w:t>
      </w:r>
      <w:r>
        <w:t xml:space="preserve">in 1Q, with growth in every Florida market. Florida is a major contributor to PHM’s active-adult and move-up exposure, and strong performance there could again offset weaker conditions in Texas and the West.</w:t>
      </w:r>
    </w:p>
    <w:p>
      <w:pPr>
        <w:pStyle w:val="BodyText"/>
      </w:pPr>
      <w:r>
        <w:t xml:space="preserve">The key question for 2Q is whether Florida strength persisted through the June quarter—and whether it was broad enough to offset softer demand in more rate-sensitive or inventory-challenged markets.</w:t>
      </w:r>
    </w:p>
    <w:bookmarkEnd w:id="12"/>
    <w:bookmarkStart w:id="13" w:name="X908dd62b6be62580b349a8a26eab114d5dc18bf"/>
    <w:p>
      <w:pPr>
        <w:pStyle w:val="Heading3"/>
      </w:pPr>
      <w:r>
        <w:t xml:space="preserve">3. Spec-inventory cleanup should reduce pressure over time</w:t>
      </w:r>
    </w:p>
    <w:p>
      <w:pPr>
        <w:pStyle w:val="FirstParagraph"/>
      </w:pPr>
      <w:r>
        <w:t xml:space="preserve">At the end of 1Q, PHM had lowered finished-spec inventory by nearly 500 homes sequentially to</w:t>
      </w:r>
      <w:r>
        <w:t xml:space="preserve"> </w:t>
      </w:r>
      <w:r>
        <w:rPr>
          <w:b/>
          <w:bCs/>
        </w:rPr>
        <w:t xml:space="preserve">1.4 finished specs per community</w:t>
      </w:r>
      <w:r>
        <w:t xml:space="preserve">, inside its target range of 1.0–1.5. This is strategically important:</w:t>
      </w:r>
    </w:p>
    <w:p>
      <w:pPr>
        <w:pStyle w:val="Compact"/>
        <w:numPr>
          <w:ilvl w:val="0"/>
          <w:numId w:val="1003"/>
        </w:numPr>
      </w:pPr>
      <w:r>
        <w:t xml:space="preserve">Finished specs typically require heavier incentives.</w:t>
      </w:r>
    </w:p>
    <w:p>
      <w:pPr>
        <w:pStyle w:val="Compact"/>
        <w:numPr>
          <w:ilvl w:val="0"/>
          <w:numId w:val="1003"/>
        </w:numPr>
      </w:pPr>
      <w:r>
        <w:t xml:space="preserve">PHM sold a meaningful amount of heavily incentivized spec product in 1Q.</w:t>
      </w:r>
    </w:p>
    <w:p>
      <w:pPr>
        <w:pStyle w:val="Compact"/>
        <w:numPr>
          <w:ilvl w:val="0"/>
          <w:numId w:val="1003"/>
        </w:numPr>
      </w:pPr>
      <w:r>
        <w:t xml:space="preserve">Some of those sales are expected to close in 2Q, weighing on reported gross margin.</w:t>
      </w:r>
    </w:p>
    <w:p>
      <w:pPr>
        <w:pStyle w:val="Compact"/>
        <w:numPr>
          <w:ilvl w:val="0"/>
          <w:numId w:val="1003"/>
        </w:numPr>
      </w:pPr>
      <w:r>
        <w:t xml:space="preserve">As that inventory clears, the company expects a richer mix of BTO and active-adult closings to help margins recover in 2H26.</w:t>
      </w:r>
    </w:p>
    <w:p>
      <w:pPr>
        <w:pStyle w:val="FirstParagraph"/>
      </w:pPr>
      <w:r>
        <w:t xml:space="preserve">In short, a weak 2Q gross-margin print is not necessarily the issue; the critical question is whether</w:t>
      </w:r>
      <w:r>
        <w:t xml:space="preserve"> </w:t>
      </w:r>
      <w:r>
        <w:rPr>
          <w:b/>
          <w:bCs/>
        </w:rPr>
        <w:t xml:space="preserve">the “2Q trough” thesis remains intact.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7" w:name="X60b0331ddeecce3795c89e6f237b96de794d98f"/>
    <w:p>
      <w:pPr>
        <w:pStyle w:val="Heading2"/>
      </w:pPr>
      <w:r>
        <w:t xml:space="preserve">The central earnings debate: Can gross margin recover in the second half?</w:t>
      </w:r>
    </w:p>
    <w:p>
      <w:pPr>
        <w:pStyle w:val="FirstParagraph"/>
      </w:pPr>
      <w:r>
        <w:t xml:space="preserve">PHM reported a</w:t>
      </w:r>
      <w:r>
        <w:t xml:space="preserve"> </w:t>
      </w:r>
      <w:r>
        <w:rPr>
          <w:b/>
          <w:bCs/>
        </w:rPr>
        <w:t xml:space="preserve">24.4%</w:t>
      </w:r>
      <w:r>
        <w:t xml:space="preserve"> </w:t>
      </w:r>
      <w:r>
        <w:t xml:space="preserve">home-sale gross margin in 1Q, down from 27.5% a year earlier. Incentives reached</w:t>
      </w:r>
      <w:r>
        <w:t xml:space="preserve"> </w:t>
      </w:r>
      <w:r>
        <w:rPr>
          <w:b/>
          <w:bCs/>
        </w:rPr>
        <w:t xml:space="preserve">10.9% of gross sales price</w:t>
      </w:r>
      <w:r>
        <w:t xml:space="preserve">, up 290 basis points year over year and 100 basis points sequentially.</w:t>
      </w:r>
    </w:p>
    <w:p>
      <w:pPr>
        <w:pStyle w:val="BodyText"/>
      </w:pPr>
      <w:r>
        <w:t xml:space="preserve">Management’s 1Q framework was: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2Q26 gross margin:</w:t>
      </w:r>
      <w:r>
        <w:t xml:space="preserve"> </w:t>
      </w:r>
      <w:r>
        <w:t xml:space="preserve">24.1%–24.4%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FY26 gross margin:</w:t>
      </w:r>
      <w:r>
        <w:t xml:space="preserve"> </w:t>
      </w:r>
      <w:r>
        <w:t xml:space="preserve">24.5%–25.0%, likely toward the low end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2Q is expected to be the low point</w:t>
      </w:r>
      <w:r>
        <w:t xml:space="preserve"> </w:t>
      </w:r>
      <w:r>
        <w:t xml:space="preserve">of the year</w:t>
      </w:r>
    </w:p>
    <w:p>
      <w:pPr>
        <w:pStyle w:val="FirstParagraph"/>
      </w:pPr>
      <w:r>
        <w:t xml:space="preserve">The recovery case relies on three factors:</w:t>
      </w:r>
    </w:p>
    <w:p>
      <w:pPr>
        <w:pStyle w:val="Compact"/>
        <w:numPr>
          <w:ilvl w:val="0"/>
          <w:numId w:val="1005"/>
        </w:numPr>
      </w:pPr>
      <w:r>
        <w:t xml:space="preserve">Fewer discounted finished-spec closings after 2Q</w:t>
      </w:r>
    </w:p>
    <w:p>
      <w:pPr>
        <w:pStyle w:val="Compact"/>
        <w:numPr>
          <w:ilvl w:val="0"/>
          <w:numId w:val="1005"/>
        </w:numPr>
      </w:pPr>
      <w:r>
        <w:t xml:space="preserve">A rising BTO mix, which tends to carry lower incentive intensity</w:t>
      </w:r>
    </w:p>
    <w:p>
      <w:pPr>
        <w:pStyle w:val="Compact"/>
        <w:numPr>
          <w:ilvl w:val="0"/>
          <w:numId w:val="1005"/>
        </w:numPr>
      </w:pPr>
      <w:r>
        <w:t xml:space="preserve">A higher mix of move-up and active-adult deliveries in the back half</w:t>
      </w:r>
    </w:p>
    <w:p>
      <w:pPr>
        <w:pStyle w:val="FirstParagraph"/>
      </w:pPr>
      <w:r>
        <w:t xml:space="preserve">This is plausible, but not automatic. If rates remain elevated, affordability deteriorates, or incentives broaden beyond entry-level/spec product, PHM may struggle to show the expected 2H margin progression.</w:t>
      </w:r>
    </w:p>
    <w:bookmarkStart w:id="15" w:name="what-would-be-encouraging"/>
    <w:p>
      <w:pPr>
        <w:pStyle w:val="Heading3"/>
      </w:pPr>
      <w:r>
        <w:t xml:space="preserve">What would be encouraging</w:t>
      </w:r>
    </w:p>
    <w:p>
      <w:pPr>
        <w:pStyle w:val="Compact"/>
        <w:numPr>
          <w:ilvl w:val="0"/>
          <w:numId w:val="1006"/>
        </w:numPr>
      </w:pPr>
      <w:r>
        <w:t xml:space="preserve">Confirmation that incentives have stabilized or eased on new orders.</w:t>
      </w:r>
    </w:p>
    <w:p>
      <w:pPr>
        <w:pStyle w:val="Compact"/>
        <w:numPr>
          <w:ilvl w:val="0"/>
          <w:numId w:val="1006"/>
        </w:numPr>
      </w:pPr>
      <w:r>
        <w:t xml:space="preserve">A clear statement that 2Q represented the margin trough.</w:t>
      </w:r>
    </w:p>
    <w:p>
      <w:pPr>
        <w:pStyle w:val="Compact"/>
        <w:numPr>
          <w:ilvl w:val="0"/>
          <w:numId w:val="1006"/>
        </w:numPr>
      </w:pPr>
      <w:r>
        <w:t xml:space="preserve">Reaffirmation of the 24.5%–25.0% full-year gross-margin guide.</w:t>
      </w:r>
    </w:p>
    <w:p>
      <w:pPr>
        <w:pStyle w:val="Compact"/>
        <w:numPr>
          <w:ilvl w:val="0"/>
          <w:numId w:val="1006"/>
        </w:numPr>
      </w:pPr>
      <w:r>
        <w:t xml:space="preserve">Evidence that BTO mix is continuing to move toward PHM’s long-run 60% BTO / 40% spec objective.</w:t>
      </w:r>
    </w:p>
    <w:bookmarkEnd w:id="15"/>
    <w:bookmarkStart w:id="16" w:name="what-would-concern-investors"/>
    <w:p>
      <w:pPr>
        <w:pStyle w:val="Heading3"/>
      </w:pPr>
      <w:r>
        <w:t xml:space="preserve">What would concern investors</w:t>
      </w:r>
    </w:p>
    <w:p>
      <w:pPr>
        <w:pStyle w:val="Compact"/>
        <w:numPr>
          <w:ilvl w:val="0"/>
          <w:numId w:val="1007"/>
        </w:numPr>
      </w:pPr>
      <w:r>
        <w:t xml:space="preserve">Lowering the full-year gross-margin guide below 24.5%.</w:t>
      </w:r>
    </w:p>
    <w:p>
      <w:pPr>
        <w:pStyle w:val="Compact"/>
        <w:numPr>
          <w:ilvl w:val="0"/>
          <w:numId w:val="1007"/>
        </w:numPr>
      </w:pPr>
      <w:r>
        <w:t xml:space="preserve">Increased pricing cuts outside a small number of challenged communities.</w:t>
      </w:r>
    </w:p>
    <w:p>
      <w:pPr>
        <w:pStyle w:val="Compact"/>
        <w:numPr>
          <w:ilvl w:val="0"/>
          <w:numId w:val="1007"/>
        </w:numPr>
      </w:pPr>
      <w:r>
        <w:t xml:space="preserve">Higher impairment charges or more widespread land/community issues.</w:t>
      </w:r>
    </w:p>
    <w:p>
      <w:pPr>
        <w:pStyle w:val="Compact"/>
        <w:numPr>
          <w:ilvl w:val="0"/>
          <w:numId w:val="1007"/>
        </w:numPr>
      </w:pPr>
      <w:r>
        <w:t xml:space="preserve">Commentary that incentives need to rise further to sustain absorption.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Xc3d90c15d50a5e1d4f06339fbc30bb83b607299"/>
    <w:p>
      <w:pPr>
        <w:pStyle w:val="Heading2"/>
      </w:pPr>
      <w:r>
        <w:t xml:space="preserve">Orders and community count: The most important operating read-through</w:t>
      </w:r>
    </w:p>
    <w:p>
      <w:pPr>
        <w:pStyle w:val="FirstParagraph"/>
      </w:pPr>
      <w:r>
        <w:t xml:space="preserve">PHM grew 1Q orders</w:t>
      </w:r>
      <w:r>
        <w:t xml:space="preserve"> </w:t>
      </w:r>
      <w:r>
        <w:rPr>
          <w:b/>
          <w:bCs/>
        </w:rPr>
        <w:t xml:space="preserve">3%</w:t>
      </w:r>
      <w:r>
        <w:t xml:space="preserve"> </w:t>
      </w:r>
      <w:r>
        <w:t xml:space="preserve">despite a</w:t>
      </w:r>
      <w:r>
        <w:t xml:space="preserve"> </w:t>
      </w:r>
      <w:r>
        <w:rPr>
          <w:b/>
          <w:bCs/>
        </w:rPr>
        <w:t xml:space="preserve">5% decline in absorption pace</w:t>
      </w:r>
      <w:r>
        <w:t xml:space="preserve">, because average community count rose</w:t>
      </w:r>
      <w:r>
        <w:t xml:space="preserve"> </w:t>
      </w:r>
      <w:r>
        <w:rPr>
          <w:b/>
          <w:bCs/>
        </w:rPr>
        <w:t xml:space="preserve">9%</w:t>
      </w:r>
      <w:r>
        <w:t xml:space="preserve">. That distinction is important: order growth was driven more by distribution expansion than by stronger sales productivity.</w:t>
      </w:r>
    </w:p>
    <w:p>
      <w:pPr>
        <w:pStyle w:val="BodyText"/>
      </w:pPr>
      <w:r>
        <w:t xml:space="preserve">For 2Q, investors should assess: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Order growth versus absorption:</w:t>
      </w:r>
      <w:r>
        <w:t xml:space="preserve"> </w:t>
      </w:r>
      <w:r>
        <w:t xml:space="preserve">Is PHM growing because it has more communities, or because consumer demand is improving?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Community-count trajectory:</w:t>
      </w:r>
      <w:r>
        <w:t xml:space="preserve"> </w:t>
      </w:r>
      <w:r>
        <w:t xml:space="preserve">Management previously guided to 3%–5% year-over-year community growth in each of the final three quarters of 2026.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Cancellation rate:</w:t>
      </w:r>
      <w:r>
        <w:t xml:space="preserve"> </w:t>
      </w:r>
      <w:r>
        <w:t xml:space="preserve">This was 13% of beginning backlog in 1Q, versus 11% in the prior year.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Buyer-group performance:</w:t>
      </w:r>
      <w:r>
        <w:t xml:space="preserve"> </w:t>
      </w:r>
      <w:r>
        <w:t xml:space="preserve">Continued move-up and active-adult strength would be favorable; a sharp deterioration in first-time buyers would reinforce affordability concerns.</w:t>
      </w:r>
    </w:p>
    <w:p>
      <w:pPr>
        <w:pStyle w:val="FirstParagraph"/>
      </w:pPr>
      <w:r>
        <w:t xml:space="preserve">The broader industry read-through remains mixed but not disastrous. D.R. Horton reported June-quarter orders essentially flat year over year, while emphasizing that affordability constraints and cautious consumers continue to require elevated incentives. That supports a view of</w:t>
      </w:r>
      <w:r>
        <w:t xml:space="preserve"> </w:t>
      </w:r>
      <w:r>
        <w:rPr>
          <w:b/>
          <w:bCs/>
        </w:rPr>
        <w:t xml:space="preserve">resilient transactional demand but limited pricing power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8"/>
    <w:bookmarkStart w:id="19" w:name="guidance-what-needs-to-be-maintained"/>
    <w:p>
      <w:pPr>
        <w:pStyle w:val="Heading2"/>
      </w:pPr>
      <w:r>
        <w:t xml:space="preserve">Guidance: What needs to be maintained</w:t>
      </w:r>
    </w:p>
    <w:p>
      <w:pPr>
        <w:pStyle w:val="FirstParagraph"/>
      </w:pPr>
      <w:r>
        <w:t xml:space="preserve">PHM’s 1Q outlook included: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FY26 item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Management outlook entering 2Q results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Closings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28,500–29,000 homes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Average selling price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550</m:t>
              </m:r>
              <m:r>
                <m:t>K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560K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Home sale gross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24.5%–25.0%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SG&amp;A as % of home sale 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9.5%–9.7%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Land acquisition and development spend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$5.4B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cash flow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~$1.0B</w:t>
            </w:r>
          </w:p>
        </w:tc>
      </w:tr>
    </w:tbl>
    <w:p>
      <w:pPr>
        <w:pStyle w:val="BodyText"/>
      </w:pPr>
      <w:r>
        <w:t xml:space="preserve">A reaffirmation would likely be viewed constructively, particularly because 2Q was explicitly guided as a lower-margin quarter. Still, investors should pay special attention to the</w:t>
      </w:r>
      <w:r>
        <w:t xml:space="preserve"> </w:t>
      </w:r>
      <w:r>
        <w:rPr>
          <w:b/>
          <w:bCs/>
        </w:rPr>
        <w:t xml:space="preserve">tone</w:t>
      </w:r>
      <w:r>
        <w:t xml:space="preserve"> </w:t>
      </w:r>
      <w:r>
        <w:t xml:space="preserve">around the back half: “maintained but lower-end weighted” is meaningfully different from a confident restatement of the original ranges.</w:t>
      </w:r>
    </w:p>
    <w:p>
      <w:pPr>
        <w:pStyle w:val="BodyText"/>
      </w:pPr>
      <w:r>
        <w:t xml:space="preserve">The full-year closings guide also becomes more demanding after 1H. Consensus 2Q closings of 7,029 homes, combined with 1Q’s 6,102, would put first-half closings at roughly 13,100 homes—meaning PHM needs a much stronger second-half delivery cadence to achieve the full-year range.</w:t>
      </w:r>
    </w:p>
    <w:p>
      <w:r>
        <w:pict>
          <v:rect style="width:0;height:1.5pt" o:hralign="center" o:hrstd="t" o:hr="t"/>
        </w:pict>
      </w:r>
    </w:p>
    <w:bookmarkEnd w:id="19"/>
    <w:bookmarkStart w:id="20" w:name="Xb96ecc6da41c82ff636352e406d64c7942d8fd0"/>
    <w:p>
      <w:pPr>
        <w:pStyle w:val="Heading2"/>
      </w:pPr>
      <w:r>
        <w:t xml:space="preserve">Capital allocation and balance sheet remain a source of support</w:t>
      </w:r>
    </w:p>
    <w:p>
      <w:pPr>
        <w:pStyle w:val="FirstParagraph"/>
      </w:pPr>
      <w:r>
        <w:t xml:space="preserve">PHM exited 1Q with: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$1.8B of cash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Effectively zero net debt-to-capital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$2.1B remaining share-repurchase authorization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$308M of repurchases</w:t>
      </w:r>
      <w:r>
        <w:t xml:space="preserve"> </w:t>
      </w:r>
      <w:r>
        <w:t xml:space="preserve">in 1Q</w:t>
      </w:r>
    </w:p>
    <w:p>
      <w:pPr>
        <w:pStyle w:val="FirstParagraph"/>
      </w:pPr>
      <w:r>
        <w:t xml:space="preserve">The company’s balance sheet gives it flexibility to maintain land investment and repurchases through a choppy housing cycle. Management has emphasized, however, that it will not pursue a debt-funded buyback simply to maximize leverage; land investment and operating needs come first.</w:t>
      </w:r>
    </w:p>
    <w:p>
      <w:pPr>
        <w:pStyle w:val="BodyText"/>
      </w:pPr>
      <w:r>
        <w:t xml:space="preserve">The medium-term positive is that PHM controls roughly</w:t>
      </w:r>
      <w:r>
        <w:t xml:space="preserve"> </w:t>
      </w:r>
      <w:r>
        <w:rPr>
          <w:b/>
          <w:bCs/>
        </w:rPr>
        <w:t xml:space="preserve">229,000 lots</w:t>
      </w:r>
      <w:r>
        <w:t xml:space="preserve"> </w:t>
      </w:r>
      <w:r>
        <w:t xml:space="preserve">and is seeing land terms become more negotiable in certain markets. The P&amp;L benefit from lower land costs is delayed—typically</w:t>
      </w:r>
      <w:r>
        <w:t xml:space="preserve"> </w:t>
      </w:r>
      <w:r>
        <w:rPr>
          <w:b/>
          <w:bCs/>
        </w:rPr>
        <w:t xml:space="preserve">18–24 months</w:t>
      </w:r>
      <w:r>
        <w:t xml:space="preserve"> </w:t>
      </w:r>
      <w:r>
        <w:t xml:space="preserve">from contract to home closing—so this is more relevant to 2027 and beyond than to the upcoming report.</w:t>
      </w:r>
    </w:p>
    <w:p>
      <w:r>
        <w:pict>
          <v:rect style="width:0;height:1.5pt" o:hralign="center" o:hrstd="t" o:hr="t"/>
        </w:pict>
      </w:r>
    </w:p>
    <w:bookmarkEnd w:id="20"/>
    <w:bookmarkStart w:id="21" w:name="stock-positioning"/>
    <w:p>
      <w:pPr>
        <w:pStyle w:val="Heading2"/>
      </w:pPr>
      <w:r>
        <w:t xml:space="preserve">Stock positioning</w:t>
      </w:r>
    </w:p>
    <w:p>
      <w:pPr>
        <w:pStyle w:val="FirstParagraph"/>
      </w:pPr>
      <w:r>
        <w:t xml:space="preserve">PHM closed at</w:t>
      </w:r>
      <w:r>
        <w:t xml:space="preserve"> </w:t>
      </w:r>
      <w:r>
        <w:rPr>
          <w:b/>
          <w:bCs/>
        </w:rPr>
        <w:t xml:space="preserve">$124.29 on July 21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6.0% year to date</w:t>
      </w:r>
      <w:r>
        <w:t xml:space="preserve">. That is better than D.R. Horton, Lennar, and KB Home, though behind Toll Brothers and the broader S&amp;P 500.</w:t>
      </w:r>
    </w:p>
    <w:p>
      <w:pPr>
        <w:pStyle w:val="BodyText"/>
      </w:pPr>
      <w:r>
        <w:t xml:space="preserve">The relative resilience suggests the market recognizes PHM’s differentiated mix, balance sheet, buyback capacity, and Florida/active-adult exposure. But it also means a disappointing margin or guidance outcome could be punished: the stock is not priced as though its operating model is structurally impaired, and the market will expect evidence that 2Q margin pressure is temporary.</w:t>
      </w:r>
    </w:p>
    <w:p>
      <w:r>
        <w:pict>
          <v:rect style="width:0;height:1.5pt" o:hralign="center" o:hrstd="t" o:hr="t"/>
        </w:pict>
      </w:r>
    </w:p>
    <w:bookmarkEnd w:id="21"/>
    <w:bookmarkStart w:id="24" w:name="what-matters-most-on-the-call"/>
    <w:p>
      <w:pPr>
        <w:pStyle w:val="Heading2"/>
      </w:pPr>
      <w:r>
        <w:t xml:space="preserve">What matters most on the call</w:t>
      </w:r>
    </w:p>
    <w:bookmarkStart w:id="22" w:name="potentially-bullish"/>
    <w:p>
      <w:pPr>
        <w:pStyle w:val="Heading3"/>
      </w:pPr>
      <w:r>
        <w:t xml:space="preserve">Potentially bullish</w:t>
      </w:r>
    </w:p>
    <w:p>
      <w:pPr>
        <w:pStyle w:val="Compact"/>
        <w:numPr>
          <w:ilvl w:val="0"/>
          <w:numId w:val="1010"/>
        </w:numPr>
      </w:pPr>
      <w:r>
        <w:t xml:space="preserve">Orders above consensus, particularly if absorption improves rather than only community count.</w:t>
      </w:r>
    </w:p>
    <w:p>
      <w:pPr>
        <w:pStyle w:val="Compact"/>
        <w:numPr>
          <w:ilvl w:val="0"/>
          <w:numId w:val="1010"/>
        </w:numPr>
      </w:pPr>
      <w:r>
        <w:t xml:space="preserve">Continued outperformance in Florida, the Northeast, and Southeast.</w:t>
      </w:r>
    </w:p>
    <w:p>
      <w:pPr>
        <w:pStyle w:val="Compact"/>
        <w:numPr>
          <w:ilvl w:val="0"/>
          <w:numId w:val="1010"/>
        </w:numPr>
      </w:pPr>
      <w:r>
        <w:t xml:space="preserve">Incentives stable or declining on current orders.</w:t>
      </w:r>
    </w:p>
    <w:p>
      <w:pPr>
        <w:pStyle w:val="Compact"/>
        <w:numPr>
          <w:ilvl w:val="0"/>
          <w:numId w:val="1010"/>
        </w:numPr>
      </w:pPr>
      <w:r>
        <w:t xml:space="preserve">Confirmation that 2Q is the gross-margin low point.</w:t>
      </w:r>
    </w:p>
    <w:p>
      <w:pPr>
        <w:pStyle w:val="Compact"/>
        <w:numPr>
          <w:ilvl w:val="0"/>
          <w:numId w:val="1010"/>
        </w:numPr>
      </w:pPr>
      <w:r>
        <w:t xml:space="preserve">Reaffirmed FY26 closings and gross-margin guidance.</w:t>
      </w:r>
    </w:p>
    <w:p>
      <w:pPr>
        <w:pStyle w:val="Compact"/>
        <w:numPr>
          <w:ilvl w:val="0"/>
          <w:numId w:val="1010"/>
        </w:numPr>
      </w:pPr>
      <w:r>
        <w:t xml:space="preserve">A faster-than-expected shift toward BTO sales.</w:t>
      </w:r>
    </w:p>
    <w:p>
      <w:pPr>
        <w:pStyle w:val="Compact"/>
        <w:numPr>
          <w:ilvl w:val="0"/>
          <w:numId w:val="1010"/>
        </w:numPr>
      </w:pPr>
      <w:r>
        <w:t xml:space="preserve">Continued aggressive but disciplined buyback activity.</w:t>
      </w:r>
    </w:p>
    <w:bookmarkEnd w:id="22"/>
    <w:bookmarkStart w:id="23" w:name="potentially-bearish"/>
    <w:p>
      <w:pPr>
        <w:pStyle w:val="Heading3"/>
      </w:pPr>
      <w:r>
        <w:t xml:space="preserve">Potentially bearish</w:t>
      </w:r>
    </w:p>
    <w:p>
      <w:pPr>
        <w:pStyle w:val="Compact"/>
        <w:numPr>
          <w:ilvl w:val="0"/>
          <w:numId w:val="1011"/>
        </w:numPr>
      </w:pPr>
      <w:r>
        <w:t xml:space="preserve">Order weakness in the move-up or active-adult cohorts.</w:t>
      </w:r>
    </w:p>
    <w:p>
      <w:pPr>
        <w:pStyle w:val="Compact"/>
        <w:numPr>
          <w:ilvl w:val="0"/>
          <w:numId w:val="1011"/>
        </w:numPr>
      </w:pPr>
      <w:r>
        <w:t xml:space="preserve">Rising cancellations.</w:t>
      </w:r>
    </w:p>
    <w:p>
      <w:pPr>
        <w:pStyle w:val="Compact"/>
        <w:numPr>
          <w:ilvl w:val="0"/>
          <w:numId w:val="1011"/>
        </w:numPr>
      </w:pPr>
      <w:r>
        <w:t xml:space="preserve">Incremental price cuts or incentives across a broader set of markets.</w:t>
      </w:r>
    </w:p>
    <w:p>
      <w:pPr>
        <w:pStyle w:val="Compact"/>
        <w:numPr>
          <w:ilvl w:val="0"/>
          <w:numId w:val="1011"/>
        </w:numPr>
      </w:pPr>
      <w:r>
        <w:t xml:space="preserve">Gross margin below the 24.1%–24.4% guide.</w:t>
      </w:r>
    </w:p>
    <w:p>
      <w:pPr>
        <w:pStyle w:val="Compact"/>
        <w:numPr>
          <w:ilvl w:val="0"/>
          <w:numId w:val="1011"/>
        </w:numPr>
      </w:pPr>
      <w:r>
        <w:t xml:space="preserve">Lowered FY26 margin or closing outlook.</w:t>
      </w:r>
    </w:p>
    <w:p>
      <w:pPr>
        <w:pStyle w:val="Compact"/>
        <w:numPr>
          <w:ilvl w:val="0"/>
          <w:numId w:val="1011"/>
        </w:numPr>
      </w:pPr>
      <w:r>
        <w:t xml:space="preserve">Incremental impairments, especially in the West, Texas, California, or Washington.</w:t>
      </w:r>
    </w:p>
    <w:p>
      <w:pPr>
        <w:pStyle w:val="Compact"/>
        <w:numPr>
          <w:ilvl w:val="0"/>
          <w:numId w:val="1011"/>
        </w:numPr>
      </w:pPr>
      <w:r>
        <w:t xml:space="preserve">A less constructive cash-flow outlook due to higher inventory investment or land spend.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5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PHM’s 2Q26 report is likely to show a predictable year-over-year decline in EPS, closings, revenue, and gross margin. The investable question is whether the company demonstrates that those pressures are contained and transitional.</w:t>
      </w:r>
    </w:p>
    <w:p>
      <w:pPr>
        <w:pStyle w:val="BodyText"/>
      </w:pPr>
      <w:r>
        <w:t xml:space="preserve">A result near consensus with a clean reaffirmation of FY26 guidance—and credible evidence of a second-half mix/margin recovery—should validate the current thesis: PHM is managing a difficult affordability environment through disciplined production, stronger customer segments, inventory normalization, and capital returns.</w:t>
      </w:r>
    </w:p>
    <w:p>
      <w:pPr>
        <w:pStyle w:val="BodyText"/>
      </w:pPr>
      <w:r>
        <w:t xml:space="preserve">Conversely, investors should be alert to any sign that incentives are broadening, that the anticipated BTO-driven margin recovery is slipping, or that PHM must trade additional price for volume to protect its full-year closings target.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2026-07-22T00:05:06Z</dcterms:created>
  <dcterms:modified xsi:type="dcterms:W3CDTF">2026-07-22T00:05:06Z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