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PulteGroup, Inc. (PHM)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PulteGroup, Inc.</w:t>
            </w:r>
          </w:p>
        </w:tc>
      </w:tr>
      <w:tr>
        <w:tc>
          <w:tcPr>
            <w:tcW w:type="dxa" w:w="4320"/>
          </w:tcPr>
          <w:p>
            <w:r>
              <w:rPr>
                <w:rFonts w:ascii="Calibri" w:hAnsi="Calibri"/>
                <w:b/>
                <w:sz w:val="22"/>
              </w:rPr>
              <w:t>Ticker</w:t>
            </w:r>
          </w:p>
        </w:tc>
        <w:tc>
          <w:tcPr>
            <w:tcW w:type="dxa" w:w="4320"/>
          </w:tcPr>
          <w:p>
            <w:r>
              <w:rPr>
                <w:rFonts w:ascii="Calibri" w:hAnsi="Calibri"/>
                <w:sz w:val="22"/>
              </w:rPr>
              <w:t>NYSE: PHM</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8:30 AM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iShares U.S. Home Construction ETF (ITB)</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a modest beat on closings with gross margin the key swing factor — consensus sits at the low end of PHM’s own Q2 guidance range, leaving room for a positive surprise if incentive mix shifts favorably, but the bar on EPS is already low enough that the stock reaction will hinge almost entirely on whether management signals Q3 margin recovery is on track.</w:t>
      </w:r>
    </w:p>
    <w:p>
      <w:r>
        <w:rPr>
          <w:rFonts w:ascii="Calibri" w:hAnsi="Calibri"/>
          <w:color w:val="525866"/>
          <w:sz w:val="22"/>
        </w:rPr>
        <w:t xml:space="preserve">Heading into Q2 2026, the consensus bar is deliberately undemanding: analysts model </w:t>
      </w:r>
      <w:r>
        <w:rPr>
          <w:rFonts w:ascii="Calibri" w:hAnsi="Calibri"/>
          <w:b/>
          <w:color w:val="525866"/>
          <w:sz w:val="22"/>
        </w:rPr>
        <w:t>$2.36 diluted operating EPS</w:t>
      </w:r>
      <w:r>
        <w:rPr>
          <w:rFonts w:ascii="Calibri" w:hAnsi="Calibri"/>
          <w:color w:val="525866"/>
          <w:sz w:val="22"/>
        </w:rPr>
        <w:t xml:space="preserve"> on </w:t>
      </w:r>
      <w:r>
        <w:rPr>
          <w:rFonts w:ascii="Calibri" w:hAnsi="Calibri"/>
          <w:b/>
          <w:color w:val="525866"/>
          <w:sz w:val="22"/>
        </w:rPr>
        <w:t>~$3.94 billion in revenue</w:t>
      </w:r>
      <w:r>
        <w:rPr>
          <w:rFonts w:ascii="Calibri" w:hAnsi="Calibri"/>
          <w:color w:val="525866"/>
          <w:sz w:val="22"/>
        </w:rPr>
        <w:t xml:space="preserve"> and </w:t>
      </w:r>
      <w:r>
        <w:rPr>
          <w:rFonts w:ascii="Calibri" w:hAnsi="Calibri"/>
          <w:b/>
          <w:color w:val="525866"/>
          <w:sz w:val="22"/>
        </w:rPr>
        <w:t>~6,994 closings</w:t>
      </w:r>
      <w:r>
        <w:rPr>
          <w:rFonts w:ascii="Calibri" w:hAnsi="Calibri"/>
          <w:color w:val="525866"/>
          <w:sz w:val="22"/>
        </w:rPr>
        <w:t xml:space="preserve">, all of which sit at or below the midpoint of PulteGroup’s own Q2 guidance (6,700–7,100 closings; ASP $540K–$550K; gross margin 24.1%–24.4%). Management explicitly flagged Q2 as the gross margin trough for 2026, so the market is not expecting a clean quarter — it is expecting a messy one that sets up a back-half recovery. Guidance tone since the April 23 print has been unchanged: no 8-K revisions, no conference updates, and the full-year framework (28,500–29,000 closings; 24.5%–25.0% gross margin, likely toward the lower end) remains intact. Estimate revisions have been essentially flat since the post-earnings reset, with EPS drifting only marginally lower (~$2.37 → $2.36) over the past 60 days, suggesting the Street has already digested the Q1 miss and is not adding incremental risk. The stock has underperformed ITB since earnings (PHM −3.3% vs. ITB −5.8% from the April 23 close, both lagging SPY +5.4%), trading at roughly 11.6x NTM P/E — a multiple that reflects caution but not distress. The single biggest wildcard is </w:t>
      </w:r>
      <w:r>
        <w:rPr>
          <w:rFonts w:ascii="Calibri" w:hAnsi="Calibri"/>
          <w:b/>
          <w:color w:val="525866"/>
          <w:sz w:val="22"/>
        </w:rPr>
        <w:t>incentive trajectory</w:t>
      </w:r>
      <w:r>
        <w:rPr>
          <w:rFonts w:ascii="Calibri" w:hAnsi="Calibri"/>
          <w:color w:val="525866"/>
          <w:sz w:val="22"/>
        </w:rPr>
        <w:t>: peer Lennar reported Q2 incentives declining for the first time in three years (to 12.9% from 14.1%), and if PHM can show even a modest sequential improvement from Q1’s 10.9% load — or credibly guide to one — the stock could re-rate meaningfully given how much margin pessimism is already embedded in the multiple.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every headline metric — closings, revenue, and EPS all sit at or below guidance midpoints. </w:t>
      </w:r>
      <w:r>
        <w:rPr>
          <w:rFonts w:ascii="Calibri" w:hAnsi="Calibri"/>
          <w:b/>
          <w:color w:val="525866"/>
          <w:sz w:val="22"/>
        </w:rPr>
        <w:t>Gross margin is the bigger swing factor</w:t>
      </w:r>
      <w:r>
        <w:rPr>
          <w:rFonts w:ascii="Calibri" w:hAnsi="Calibri"/>
          <w:color w:val="525866"/>
          <w:sz w:val="22"/>
        </w:rPr>
        <w:t>: a 24.1%–24.4% guide implies the trough, and any upside surprise there (or credible forward signal) will drive the stock more than a closings beat.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$3.41B</w:t>
            </w:r>
          </w:p>
        </w:tc>
        <w:tc>
          <w:tcPr>
            <w:tcW w:type="dxa" w:w="1234"/>
          </w:tcPr>
          <w:p>
            <w:r>
              <w:rPr>
                <w:rFonts w:ascii="Calibri" w:hAnsi="Calibri"/>
                <w:sz w:val="22"/>
              </w:rPr>
              <w:t>$4.40B</w:t>
            </w:r>
          </w:p>
        </w:tc>
        <w:tc>
          <w:tcPr>
            <w:tcW w:type="dxa" w:w="1234"/>
          </w:tcPr>
          <w:p>
            <w:r>
              <w:rPr>
                <w:rFonts w:ascii="Calibri" w:hAnsi="Calibri"/>
                <w:sz w:val="22"/>
              </w:rPr>
              <w:t>$3.94B</w:t>
            </w:r>
          </w:p>
        </w:tc>
        <w:tc>
          <w:tcPr>
            <w:tcW w:type="dxa" w:w="1234"/>
          </w:tcPr>
          <w:p>
            <w:r>
              <w:rPr>
                <w:rFonts w:ascii="Calibri" w:hAnsi="Calibri"/>
                <w:b/>
                <w:color w:val="E5484D"/>
                <w:sz w:val="22"/>
              </w:rPr>
              <w:t>−10.5%</w:t>
            </w:r>
          </w:p>
        </w:tc>
        <w:tc>
          <w:tcPr>
            <w:tcW w:type="dxa" w:w="1234"/>
          </w:tcPr>
          <w:p>
            <w:r>
              <w:rPr>
                <w:rFonts w:ascii="Calibri" w:hAnsi="Calibri"/>
                <w:sz w:val="22"/>
              </w:rPr>
              <w:t>N/A (implied by closings × ASP)</w:t>
            </w:r>
          </w:p>
        </w:tc>
        <w:tc>
          <w:tcPr>
            <w:tcW w:type="dxa" w:w="1234"/>
          </w:tcPr>
          <w:p>
            <w:r>
              <w:rPr>
                <w:rFonts w:ascii="Calibri" w:hAnsi="Calibri"/>
                <w:sz w:val="22"/>
              </w:rPr>
              <w:t>N/A</w:t>
            </w:r>
          </w:p>
        </w:tc>
      </w:tr>
      <w:tr>
        <w:tc>
          <w:tcPr>
            <w:tcW w:type="dxa" w:w="1234"/>
          </w:tcPr>
          <w:p>
            <w:r>
              <w:rPr>
                <w:rFonts w:ascii="Calibri" w:hAnsi="Calibri"/>
                <w:sz w:val="22"/>
              </w:rPr>
              <w:t>Diluted Operating EPS ($)</w:t>
            </w:r>
          </w:p>
        </w:tc>
        <w:tc>
          <w:tcPr>
            <w:tcW w:type="dxa" w:w="1234"/>
          </w:tcPr>
          <w:p>
            <w:r>
              <w:rPr>
                <w:rFonts w:ascii="Calibri" w:hAnsi="Calibri"/>
                <w:sz w:val="22"/>
              </w:rPr>
              <w:t>$1.79</w:t>
            </w:r>
          </w:p>
        </w:tc>
        <w:tc>
          <w:tcPr>
            <w:tcW w:type="dxa" w:w="1234"/>
          </w:tcPr>
          <w:p>
            <w:r>
              <w:rPr>
                <w:rFonts w:ascii="Calibri" w:hAnsi="Calibri"/>
                <w:sz w:val="22"/>
              </w:rPr>
              <w:t>$3.03</w:t>
            </w:r>
          </w:p>
        </w:tc>
        <w:tc>
          <w:tcPr>
            <w:tcW w:type="dxa" w:w="1234"/>
          </w:tcPr>
          <w:p>
            <w:r>
              <w:rPr>
                <w:rFonts w:ascii="Calibri" w:hAnsi="Calibri"/>
                <w:sz w:val="22"/>
              </w:rPr>
              <w:t>$2.36</w:t>
            </w:r>
          </w:p>
        </w:tc>
        <w:tc>
          <w:tcPr>
            <w:tcW w:type="dxa" w:w="1234"/>
          </w:tcPr>
          <w:p>
            <w:r>
              <w:rPr>
                <w:rFonts w:ascii="Calibri" w:hAnsi="Calibri"/>
                <w:b/>
                <w:color w:val="E5484D"/>
                <w:sz w:val="22"/>
              </w:rPr>
              <w:t>−22.2%</w:t>
            </w:r>
          </w:p>
        </w:tc>
        <w:tc>
          <w:tcPr>
            <w:tcW w:type="dxa" w:w="1234"/>
          </w:tcPr>
          <w:p>
            <w:r>
              <w:rPr>
                <w:rFonts w:ascii="Calibri" w:hAnsi="Calibri"/>
                <w:sz w:val="22"/>
              </w:rPr>
              <w:t>N/A (no explicit EPS guide)</w:t>
            </w:r>
          </w:p>
        </w:tc>
        <w:tc>
          <w:tcPr>
            <w:tcW w:type="dxa" w:w="1234"/>
          </w:tcPr>
          <w:p>
            <w:r>
              <w:rPr>
                <w:rFonts w:ascii="Calibri" w:hAnsi="Calibri"/>
                <w:sz w:val="22"/>
              </w:rPr>
              <w:t>N/A</w:t>
            </w:r>
          </w:p>
        </w:tc>
      </w:tr>
      <w:tr>
        <w:tc>
          <w:tcPr>
            <w:tcW w:type="dxa" w:w="1234"/>
          </w:tcPr>
          <w:p>
            <w:r>
              <w:rPr>
                <w:rFonts w:ascii="Calibri" w:hAnsi="Calibri"/>
                <w:sz w:val="22"/>
              </w:rPr>
              <w:t>Closings (units)</w:t>
            </w:r>
          </w:p>
        </w:tc>
        <w:tc>
          <w:tcPr>
            <w:tcW w:type="dxa" w:w="1234"/>
          </w:tcPr>
          <w:p>
            <w:r>
              <w:rPr>
                <w:rFonts w:ascii="Calibri" w:hAnsi="Calibri"/>
                <w:sz w:val="22"/>
              </w:rPr>
              <w:t>6,102</w:t>
            </w:r>
          </w:p>
        </w:tc>
        <w:tc>
          <w:tcPr>
            <w:tcW w:type="dxa" w:w="1234"/>
          </w:tcPr>
          <w:p>
            <w:r>
              <w:rPr>
                <w:rFonts w:ascii="Calibri" w:hAnsi="Calibri"/>
                <w:sz w:val="22"/>
              </w:rPr>
              <w:t>7,639</w:t>
            </w:r>
          </w:p>
        </w:tc>
        <w:tc>
          <w:tcPr>
            <w:tcW w:type="dxa" w:w="1234"/>
          </w:tcPr>
          <w:p>
            <w:r>
              <w:rPr>
                <w:rFonts w:ascii="Calibri" w:hAnsi="Calibri"/>
                <w:sz w:val="22"/>
              </w:rPr>
              <w:t>6,994</w:t>
            </w:r>
          </w:p>
        </w:tc>
        <w:tc>
          <w:tcPr>
            <w:tcW w:type="dxa" w:w="1234"/>
          </w:tcPr>
          <w:p>
            <w:r>
              <w:rPr>
                <w:rFonts w:ascii="Calibri" w:hAnsi="Calibri"/>
                <w:b/>
                <w:color w:val="E5484D"/>
                <w:sz w:val="22"/>
              </w:rPr>
              <w:t>−8.4%</w:t>
            </w:r>
          </w:p>
        </w:tc>
        <w:tc>
          <w:tcPr>
            <w:tcW w:type="dxa" w:w="1234"/>
          </w:tcPr>
          <w:p>
            <w:r>
              <w:rPr>
                <w:rFonts w:ascii="Calibri" w:hAnsi="Calibri"/>
                <w:sz w:val="22"/>
              </w:rPr>
              <w:t>6,700–7,100</w:t>
            </w:r>
          </w:p>
        </w:tc>
        <w:tc>
          <w:tcPr>
            <w:tcW w:type="dxa" w:w="1234"/>
          </w:tcPr>
          <w:p>
            <w:r>
              <w:rPr>
                <w:rFonts w:ascii="Calibri" w:hAnsi="Calibri"/>
                <w:sz w:val="22"/>
              </w:rPr>
              <w:t>−0.1% vs. midpoint (6,900)</w:t>
            </w:r>
          </w:p>
        </w:tc>
      </w:tr>
      <w:tr>
        <w:tc>
          <w:tcPr>
            <w:tcW w:type="dxa" w:w="1234"/>
          </w:tcPr>
          <w:p>
            <w:r>
              <w:rPr>
                <w:rFonts w:ascii="Calibri" w:hAnsi="Calibri"/>
                <w:sz w:val="22"/>
              </w:rPr>
              <w:t>Average Selling Price ($K)</w:t>
            </w:r>
          </w:p>
        </w:tc>
        <w:tc>
          <w:tcPr>
            <w:tcW w:type="dxa" w:w="1234"/>
          </w:tcPr>
          <w:p>
            <w:r>
              <w:rPr>
                <w:rFonts w:ascii="Calibri" w:hAnsi="Calibri"/>
                <w:sz w:val="22"/>
              </w:rPr>
              <w:t>$542K</w:t>
            </w:r>
          </w:p>
        </w:tc>
        <w:tc>
          <w:tcPr>
            <w:tcW w:type="dxa" w:w="1234"/>
          </w:tcPr>
          <w:p>
            <w:r>
              <w:rPr>
                <w:rFonts w:ascii="Calibri" w:hAnsi="Calibri"/>
                <w:sz w:val="22"/>
              </w:rPr>
              <w:t>$559K</w:t>
            </w:r>
          </w:p>
        </w:tc>
        <w:tc>
          <w:tcPr>
            <w:tcW w:type="dxa" w:w="1234"/>
          </w:tcPr>
          <w:p>
            <w:r>
              <w:rPr>
                <w:rFonts w:ascii="Calibri" w:hAnsi="Calibri"/>
                <w:sz w:val="22"/>
              </w:rPr>
              <w:t>$547K</w:t>
            </w:r>
          </w:p>
        </w:tc>
        <w:tc>
          <w:tcPr>
            <w:tcW w:type="dxa" w:w="1234"/>
          </w:tcPr>
          <w:p>
            <w:r>
              <w:rPr>
                <w:rFonts w:ascii="Calibri" w:hAnsi="Calibri"/>
                <w:b/>
                <w:color w:val="E5484D"/>
                <w:sz w:val="22"/>
              </w:rPr>
              <w:t>−2.1%</w:t>
            </w:r>
          </w:p>
        </w:tc>
        <w:tc>
          <w:tcPr>
            <w:tcW w:type="dxa" w:w="1234"/>
          </w:tcPr>
          <w:p>
            <w:r>
              <w:rPr>
                <w:rFonts w:ascii="Calibri" w:hAnsi="Calibri"/>
                <w:sz w:val="22"/>
              </w:rPr>
              <w:t>$540K–$550K</w:t>
            </w:r>
          </w:p>
        </w:tc>
        <w:tc>
          <w:tcPr>
            <w:tcW w:type="dxa" w:w="1234"/>
          </w:tcPr>
          <w:p>
            <w:r>
              <w:rPr>
                <w:rFonts w:ascii="Calibri" w:hAnsi="Calibri"/>
                <w:sz w:val="22"/>
              </w:rPr>
              <w:t>−0.5% vs. midpoint ($545K)</w:t>
            </w:r>
          </w:p>
        </w:tc>
      </w:tr>
      <w:tr>
        <w:tc>
          <w:tcPr>
            <w:tcW w:type="dxa" w:w="1234"/>
          </w:tcPr>
          <w:p>
            <w:r>
              <w:rPr>
                <w:rFonts w:ascii="Calibri" w:hAnsi="Calibri"/>
                <w:sz w:val="22"/>
              </w:rPr>
              <w:t>Net New Orders (units)</w:t>
            </w:r>
          </w:p>
        </w:tc>
        <w:tc>
          <w:tcPr>
            <w:tcW w:type="dxa" w:w="1234"/>
          </w:tcPr>
          <w:p>
            <w:r>
              <w:rPr>
                <w:rFonts w:ascii="Calibri" w:hAnsi="Calibri"/>
                <w:sz w:val="22"/>
              </w:rPr>
              <w:t>8,034</w:t>
            </w:r>
          </w:p>
        </w:tc>
        <w:tc>
          <w:tcPr>
            <w:tcW w:type="dxa" w:w="1234"/>
          </w:tcPr>
          <w:p>
            <w:r>
              <w:rPr>
                <w:rFonts w:ascii="Calibri" w:hAnsi="Calibri"/>
                <w:sz w:val="22"/>
              </w:rPr>
              <w:t>7,083</w:t>
            </w:r>
          </w:p>
        </w:tc>
        <w:tc>
          <w:tcPr>
            <w:tcW w:type="dxa" w:w="1234"/>
          </w:tcPr>
          <w:p>
            <w:r>
              <w:rPr>
                <w:rFonts w:ascii="Calibri" w:hAnsi="Calibri"/>
                <w:sz w:val="22"/>
              </w:rPr>
              <w:t>7,494</w:t>
            </w:r>
          </w:p>
        </w:tc>
        <w:tc>
          <w:tcPr>
            <w:tcW w:type="dxa" w:w="1234"/>
          </w:tcPr>
          <w:p>
            <w:r>
              <w:rPr>
                <w:rFonts w:ascii="Calibri" w:hAnsi="Calibri"/>
                <w:b/>
                <w:color w:val="30A46C"/>
                <w:sz w:val="22"/>
              </w:rPr>
              <w:t>+5.8%</w:t>
            </w:r>
          </w:p>
        </w:tc>
        <w:tc>
          <w:tcPr>
            <w:tcW w:type="dxa" w:w="1234"/>
          </w:tcPr>
          <w:p>
            <w:r>
              <w:rPr>
                <w:rFonts w:ascii="Calibri" w:hAnsi="Calibri"/>
                <w:sz w:val="22"/>
              </w:rPr>
              <w:t>N/A (no explicit orders guide)</w:t>
            </w:r>
          </w:p>
        </w:tc>
        <w:tc>
          <w:tcPr>
            <w:tcW w:type="dxa" w:w="1234"/>
          </w:tcPr>
          <w:p>
            <w:r>
              <w:rPr>
                <w:rFonts w:ascii="Calibri" w:hAnsi="Calibri"/>
                <w:sz w:val="22"/>
              </w:rPr>
              <w:t>N/A</w:t>
            </w:r>
          </w:p>
        </w:tc>
      </w:tr>
      <w:tr>
        <w:tc>
          <w:tcPr>
            <w:tcW w:type="dxa" w:w="1234"/>
          </w:tcPr>
          <w:p>
            <w:r>
              <w:rPr>
                <w:rFonts w:ascii="Calibri" w:hAnsi="Calibri"/>
                <w:sz w:val="22"/>
              </w:rPr>
              <w:t>HB Gross Profit ($B)</w:t>
            </w:r>
          </w:p>
        </w:tc>
        <w:tc>
          <w:tcPr>
            <w:tcW w:type="dxa" w:w="1234"/>
          </w:tcPr>
          <w:p>
            <w:r>
              <w:rPr>
                <w:rFonts w:ascii="Calibri" w:hAnsi="Calibri"/>
                <w:sz w:val="22"/>
              </w:rPr>
              <w:t>$0.817B</w:t>
            </w:r>
          </w:p>
        </w:tc>
        <w:tc>
          <w:tcPr>
            <w:tcW w:type="dxa" w:w="1234"/>
          </w:tcPr>
          <w:p>
            <w:r>
              <w:rPr>
                <w:rFonts w:ascii="Calibri" w:hAnsi="Calibri"/>
                <w:sz w:val="22"/>
              </w:rPr>
              <w:t>$1.164B</w:t>
            </w:r>
          </w:p>
        </w:tc>
        <w:tc>
          <w:tcPr>
            <w:tcW w:type="dxa" w:w="1234"/>
          </w:tcPr>
          <w:p>
            <w:r>
              <w:rPr>
                <w:rFonts w:ascii="Calibri" w:hAnsi="Calibri"/>
                <w:sz w:val="22"/>
              </w:rPr>
              <w:t>$0.938B</w:t>
            </w:r>
          </w:p>
        </w:tc>
        <w:tc>
          <w:tcPr>
            <w:tcW w:type="dxa" w:w="1234"/>
          </w:tcPr>
          <w:p>
            <w:r>
              <w:rPr>
                <w:rFonts w:ascii="Calibri" w:hAnsi="Calibri"/>
                <w:b/>
                <w:color w:val="E5484D"/>
                <w:sz w:val="22"/>
              </w:rPr>
              <w:t>−19.4%</w:t>
            </w:r>
          </w:p>
        </w:tc>
        <w:tc>
          <w:tcPr>
            <w:tcW w:type="dxa" w:w="1234"/>
          </w:tcPr>
          <w:p>
            <w:r>
              <w:rPr>
                <w:rFonts w:ascii="Calibri" w:hAnsi="Calibri"/>
                <w:sz w:val="22"/>
              </w:rPr>
              <w:t>24.1%–24.4% gross margin</w:t>
            </w:r>
          </w:p>
        </w:tc>
        <w:tc>
          <w:tcPr>
            <w:tcW w:type="dxa" w:w="1234"/>
          </w:tcPr>
          <w:p>
            <w:r>
              <w:rPr>
                <w:rFonts w:ascii="Calibri" w:hAnsi="Calibri"/>
                <w:sz w:val="22"/>
              </w:rPr>
              <w:t>~−0.1% vs. midpoint</w:t>
            </w:r>
          </w:p>
        </w:tc>
      </w:tr>
      <w:tr>
        <w:tc>
          <w:tcPr>
            <w:tcW w:type="dxa" w:w="1234"/>
          </w:tcPr>
          <w:p>
            <w:r>
              <w:rPr>
                <w:rFonts w:ascii="Calibri" w:hAnsi="Calibri"/>
                <w:sz w:val="22"/>
              </w:rPr>
              <w:t>Community Count — EOP</w:t>
            </w:r>
          </w:p>
        </w:tc>
        <w:tc>
          <w:tcPr>
            <w:tcW w:type="dxa" w:w="1234"/>
          </w:tcPr>
          <w:p>
            <w:r>
              <w:rPr>
                <w:rFonts w:ascii="Calibri" w:hAnsi="Calibri"/>
                <w:sz w:val="22"/>
              </w:rPr>
              <w:t>1,052</w:t>
            </w:r>
          </w:p>
        </w:tc>
        <w:tc>
          <w:tcPr>
            <w:tcW w:type="dxa" w:w="1234"/>
          </w:tcPr>
          <w:p>
            <w:r>
              <w:rPr>
                <w:rFonts w:ascii="Calibri" w:hAnsi="Calibri"/>
                <w:sz w:val="22"/>
              </w:rPr>
              <w:t>1,004</w:t>
            </w:r>
          </w:p>
        </w:tc>
        <w:tc>
          <w:tcPr>
            <w:tcW w:type="dxa" w:w="1234"/>
          </w:tcPr>
          <w:p>
            <w:r>
              <w:rPr>
                <w:rFonts w:ascii="Calibri" w:hAnsi="Calibri"/>
                <w:sz w:val="22"/>
              </w:rPr>
              <w:t>1,043</w:t>
            </w:r>
          </w:p>
        </w:tc>
        <w:tc>
          <w:tcPr>
            <w:tcW w:type="dxa" w:w="1234"/>
          </w:tcPr>
          <w:p>
            <w:r>
              <w:rPr>
                <w:rFonts w:ascii="Calibri" w:hAnsi="Calibri"/>
                <w:b/>
                <w:color w:val="30A46C"/>
                <w:sz w:val="22"/>
              </w:rPr>
              <w:t>+3.9%</w:t>
            </w:r>
          </w:p>
        </w:tc>
        <w:tc>
          <w:tcPr>
            <w:tcW w:type="dxa" w:w="1234"/>
          </w:tcPr>
          <w:p>
            <w:r>
              <w:rPr>
                <w:rFonts w:ascii="Calibri" w:hAnsi="Calibri"/>
                <w:sz w:val="22"/>
              </w:rPr>
              <w:t>+3%–5% YoY growth</w:t>
            </w:r>
          </w:p>
        </w:tc>
        <w:tc>
          <w:tcPr>
            <w:tcW w:type="dxa" w:w="1234"/>
          </w:tcPr>
          <w:p>
            <w:r>
              <w:rPr>
                <w:rFonts w:ascii="Calibri" w:hAnsi="Calibri"/>
                <w:sz w:val="22"/>
              </w:rPr>
              <w:t>In line</w:t>
            </w:r>
          </w:p>
        </w:tc>
      </w:tr>
    </w:tbl>
    <w:p>
      <w:r>
        <w:rPr>
          <w:rFonts w:ascii="Calibri" w:hAnsi="Calibri"/>
          <w:i/>
          <w:color w:val="525866"/>
          <w:sz w:val="22"/>
        </w:rPr>
        <w:t>Source: Visible Alpha Consensus and Actuals Data. All consensus figures as of July 21, 2026. Guidance from Q1 2026 earnings call (April 23, 2026).</w:t>
      </w:r>
    </w:p>
    <w:p>
      <w:pPr>
        <w:pStyle w:val="Heading3"/>
      </w:pPr>
      <w:r>
        <w:rPr>
          <w:rFonts w:ascii="Calibri" w:hAnsi="Calibri"/>
          <w:b/>
          <w:color w:val="3B4259"/>
          <w:sz w:val="24"/>
        </w:rPr>
        <w:t>Table 2 — Beat / Miss History (Last 8 Quarters)</w:t>
      </w:r>
    </w:p>
    <w:p>
      <w:pPr>
        <w:pStyle w:val="Heading4"/>
      </w:pPr>
      <w:r>
        <w:rPr>
          <w:rFonts w:ascii="Calibri" w:hAnsi="Calibri"/>
          <w:b/>
          <w:color w:val="3B4259"/>
          <w:sz w:val="22"/>
        </w:rPr>
        <w:t>Panel A: Diluted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3.83</w:t>
            </w:r>
          </w:p>
        </w:tc>
        <w:tc>
          <w:tcPr>
            <w:tcW w:type="dxa" w:w="1728"/>
          </w:tcPr>
          <w:p>
            <w:r>
              <w:rPr>
                <w:rFonts w:ascii="Calibri" w:hAnsi="Calibri"/>
                <w:sz w:val="22"/>
              </w:rPr>
              <w:t>3.36</w:t>
            </w:r>
          </w:p>
        </w:tc>
        <w:tc>
          <w:tcPr>
            <w:tcW w:type="dxa" w:w="1728"/>
          </w:tcPr>
          <w:p>
            <w:r>
              <w:rPr>
                <w:rFonts w:ascii="Calibri" w:hAnsi="Calibri"/>
                <w:sz w:val="22"/>
              </w:rPr>
              <w:t>+14.0%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3.35</w:t>
            </w:r>
          </w:p>
        </w:tc>
        <w:tc>
          <w:tcPr>
            <w:tcW w:type="dxa" w:w="1728"/>
          </w:tcPr>
          <w:p>
            <w:r>
              <w:rPr>
                <w:rFonts w:ascii="Calibri" w:hAnsi="Calibri"/>
                <w:sz w:val="22"/>
              </w:rPr>
              <w:t>3.14</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3.50</w:t>
            </w:r>
          </w:p>
        </w:tc>
        <w:tc>
          <w:tcPr>
            <w:tcW w:type="dxa" w:w="1728"/>
          </w:tcPr>
          <w:p>
            <w:r>
              <w:rPr>
                <w:rFonts w:ascii="Calibri" w:hAnsi="Calibri"/>
                <w:sz w:val="22"/>
              </w:rPr>
              <w:t>3.28</w:t>
            </w:r>
          </w:p>
        </w:tc>
        <w:tc>
          <w:tcPr>
            <w:tcW w:type="dxa" w:w="1728"/>
          </w:tcPr>
          <w:p>
            <w:r>
              <w:rPr>
                <w:rFonts w:ascii="Calibri" w:hAnsi="Calibri"/>
                <w:sz w:val="22"/>
              </w:rPr>
              <w:t>+6.7%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2.57</w:t>
            </w:r>
          </w:p>
        </w:tc>
        <w:tc>
          <w:tcPr>
            <w:tcW w:type="dxa" w:w="1728"/>
          </w:tcPr>
          <w:p>
            <w:r>
              <w:rPr>
                <w:rFonts w:ascii="Calibri" w:hAnsi="Calibri"/>
                <w:sz w:val="22"/>
              </w:rPr>
              <w:t>2.42</w:t>
            </w:r>
          </w:p>
        </w:tc>
        <w:tc>
          <w:tcPr>
            <w:tcW w:type="dxa" w:w="1728"/>
          </w:tcPr>
          <w:p>
            <w:r>
              <w:rPr>
                <w:rFonts w:ascii="Calibri" w:hAnsi="Calibri"/>
                <w:sz w:val="22"/>
              </w:rPr>
              <w:t>+6.2%</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3.03</w:t>
            </w:r>
          </w:p>
        </w:tc>
        <w:tc>
          <w:tcPr>
            <w:tcW w:type="dxa" w:w="1728"/>
          </w:tcPr>
          <w:p>
            <w:r>
              <w:rPr>
                <w:rFonts w:ascii="Calibri" w:hAnsi="Calibri"/>
                <w:sz w:val="22"/>
              </w:rPr>
              <w:t>2.92</w:t>
            </w:r>
          </w:p>
        </w:tc>
        <w:tc>
          <w:tcPr>
            <w:tcW w:type="dxa" w:w="1728"/>
          </w:tcPr>
          <w:p>
            <w:r>
              <w:rPr>
                <w:rFonts w:ascii="Calibri" w:hAnsi="Calibri"/>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2.96</w:t>
            </w:r>
          </w:p>
        </w:tc>
        <w:tc>
          <w:tcPr>
            <w:tcW w:type="dxa" w:w="1728"/>
          </w:tcPr>
          <w:p>
            <w:r>
              <w:rPr>
                <w:rFonts w:ascii="Calibri" w:hAnsi="Calibri"/>
                <w:sz w:val="22"/>
              </w:rPr>
              <w:t>2.87</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2.56</w:t>
            </w:r>
          </w:p>
        </w:tc>
        <w:tc>
          <w:tcPr>
            <w:tcW w:type="dxa" w:w="1728"/>
          </w:tcPr>
          <w:p>
            <w:r>
              <w:rPr>
                <w:rFonts w:ascii="Calibri" w:hAnsi="Calibri"/>
                <w:sz w:val="22"/>
              </w:rPr>
              <w:t>2.82</w:t>
            </w:r>
          </w:p>
        </w:tc>
        <w:tc>
          <w:tcPr>
            <w:tcW w:type="dxa" w:w="1728"/>
          </w:tcPr>
          <w:p>
            <w:r>
              <w:rPr>
                <w:rFonts w:ascii="Calibri" w:hAnsi="Calibri"/>
                <w:sz w:val="22"/>
              </w:rPr>
              <w:t>−9.2%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1.79</w:t>
            </w:r>
          </w:p>
        </w:tc>
        <w:tc>
          <w:tcPr>
            <w:tcW w:type="dxa" w:w="1728"/>
          </w:tcPr>
          <w:p>
            <w:r>
              <w:rPr>
                <w:rFonts w:ascii="Calibri" w:hAnsi="Calibri"/>
                <w:sz w:val="22"/>
              </w:rPr>
              <w:t>1.81</w:t>
            </w:r>
          </w:p>
        </w:tc>
        <w:tc>
          <w:tcPr>
            <w:tcW w:type="dxa" w:w="1728"/>
          </w:tcPr>
          <w:p>
            <w:r>
              <w:rPr>
                <w:rFonts w:ascii="Calibri" w:hAnsi="Calibri"/>
                <w:sz w:val="22"/>
              </w:rPr>
              <w:t>−1.1%</w:t>
            </w:r>
          </w:p>
        </w:tc>
        <w:tc>
          <w:tcPr>
            <w:tcW w:type="dxa" w:w="1728"/>
          </w:tcPr>
          <w:p>
            <w:r>
              <w:rPr>
                <w:rFonts w:ascii="Calibri" w:hAnsi="Calibri"/>
                <w:b/>
                <w:color w:val="E5484D"/>
                <w:sz w:val="22"/>
              </w:rPr>
              <w:t>MISS</w:t>
            </w:r>
          </w:p>
        </w:tc>
      </w:tr>
    </w:tbl>
    <w:p>
      <w:pPr>
        <w:pStyle w:val="Heading4"/>
      </w:pPr>
      <w:r>
        <w:rPr>
          <w:rFonts w:ascii="Calibri" w:hAnsi="Calibri"/>
          <w:b/>
          <w:color w:val="3B4259"/>
          <w:sz w:val="22"/>
        </w:rPr>
        <w:t>Panel B: Net New Orders (units)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7,649</w:t>
            </w:r>
          </w:p>
        </w:tc>
        <w:tc>
          <w:tcPr>
            <w:tcW w:type="dxa" w:w="1728"/>
          </w:tcPr>
          <w:p>
            <w:r>
              <w:rPr>
                <w:rFonts w:ascii="Calibri" w:hAnsi="Calibri"/>
                <w:sz w:val="22"/>
              </w:rPr>
              <w:t>8,321</w:t>
            </w:r>
          </w:p>
        </w:tc>
        <w:tc>
          <w:tcPr>
            <w:tcW w:type="dxa" w:w="1728"/>
          </w:tcPr>
          <w:p>
            <w:r>
              <w:rPr>
                <w:rFonts w:ascii="Calibri" w:hAnsi="Calibri"/>
                <w:sz w:val="22"/>
              </w:rPr>
              <w:t>−8.1%</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7,031</w:t>
            </w:r>
          </w:p>
        </w:tc>
        <w:tc>
          <w:tcPr>
            <w:tcW w:type="dxa" w:w="1728"/>
          </w:tcPr>
          <w:p>
            <w:r>
              <w:rPr>
                <w:rFonts w:ascii="Calibri" w:hAnsi="Calibri"/>
                <w:sz w:val="22"/>
              </w:rPr>
              <w:t>7,058</w:t>
            </w:r>
          </w:p>
        </w:tc>
        <w:tc>
          <w:tcPr>
            <w:tcW w:type="dxa" w:w="1728"/>
          </w:tcPr>
          <w:p>
            <w:r>
              <w:rPr>
                <w:rFonts w:ascii="Calibri" w:hAnsi="Calibri"/>
                <w:sz w:val="22"/>
              </w:rPr>
              <w:t>−0.4%</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6,167</w:t>
            </w:r>
          </w:p>
        </w:tc>
        <w:tc>
          <w:tcPr>
            <w:tcW w:type="dxa" w:w="1728"/>
          </w:tcPr>
          <w:p>
            <w:r>
              <w:rPr>
                <w:rFonts w:ascii="Calibri" w:hAnsi="Calibri"/>
                <w:sz w:val="22"/>
              </w:rPr>
              <w:t>6,203</w:t>
            </w:r>
          </w:p>
        </w:tc>
        <w:tc>
          <w:tcPr>
            <w:tcW w:type="dxa" w:w="1728"/>
          </w:tcPr>
          <w:p>
            <w:r>
              <w:rPr>
                <w:rFonts w:ascii="Calibri" w:hAnsi="Calibri"/>
                <w:sz w:val="22"/>
              </w:rPr>
              <w:t>−0.6%</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7,765</w:t>
            </w:r>
          </w:p>
        </w:tc>
        <w:tc>
          <w:tcPr>
            <w:tcW w:type="dxa" w:w="1728"/>
          </w:tcPr>
          <w:p>
            <w:r>
              <w:rPr>
                <w:rFonts w:ascii="Calibri" w:hAnsi="Calibri"/>
                <w:sz w:val="22"/>
              </w:rPr>
              <w:t>8,192</w:t>
            </w:r>
          </w:p>
        </w:tc>
        <w:tc>
          <w:tcPr>
            <w:tcW w:type="dxa" w:w="1728"/>
          </w:tcPr>
          <w:p>
            <w:r>
              <w:rPr>
                <w:rFonts w:ascii="Calibri" w:hAnsi="Calibri"/>
                <w:sz w:val="22"/>
              </w:rPr>
              <w:t>−5.2%</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7,083</w:t>
            </w:r>
          </w:p>
        </w:tc>
        <w:tc>
          <w:tcPr>
            <w:tcW w:type="dxa" w:w="1728"/>
          </w:tcPr>
          <w:p>
            <w:r>
              <w:rPr>
                <w:rFonts w:ascii="Calibri" w:hAnsi="Calibri"/>
                <w:sz w:val="22"/>
              </w:rPr>
              <w:t>7,333</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6,638</w:t>
            </w:r>
          </w:p>
        </w:tc>
        <w:tc>
          <w:tcPr>
            <w:tcW w:type="dxa" w:w="1728"/>
          </w:tcPr>
          <w:p>
            <w:r>
              <w:rPr>
                <w:rFonts w:ascii="Calibri" w:hAnsi="Calibri"/>
                <w:sz w:val="22"/>
              </w:rPr>
              <w:t>6,604</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6,428</w:t>
            </w:r>
          </w:p>
        </w:tc>
        <w:tc>
          <w:tcPr>
            <w:tcW w:type="dxa" w:w="1728"/>
          </w:tcPr>
          <w:p>
            <w:r>
              <w:rPr>
                <w:rFonts w:ascii="Calibri" w:hAnsi="Calibri"/>
                <w:sz w:val="22"/>
              </w:rPr>
              <w:t>6,033</w:t>
            </w:r>
          </w:p>
        </w:tc>
        <w:tc>
          <w:tcPr>
            <w:tcW w:type="dxa" w:w="1728"/>
          </w:tcPr>
          <w:p>
            <w:r>
              <w:rPr>
                <w:rFonts w:ascii="Calibri" w:hAnsi="Calibri"/>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8,034</w:t>
            </w:r>
          </w:p>
        </w:tc>
        <w:tc>
          <w:tcPr>
            <w:tcW w:type="dxa" w:w="1728"/>
          </w:tcPr>
          <w:p>
            <w:r>
              <w:rPr>
                <w:rFonts w:ascii="Calibri" w:hAnsi="Calibri"/>
                <w:sz w:val="22"/>
              </w:rPr>
              <w:t>7,979</w:t>
            </w:r>
          </w:p>
        </w:tc>
        <w:tc>
          <w:tcPr>
            <w:tcW w:type="dxa" w:w="1728"/>
          </w:tcPr>
          <w:p>
            <w:r>
              <w:rPr>
                <w:rFonts w:ascii="Calibri" w:hAnsi="Calibri"/>
                <w:sz w:val="22"/>
              </w:rPr>
              <w:t>+0.7%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PHM has beaten EPS consensus in 6 of the last 8 quarters, with the two misses concentrated in the most recent two prints (Q4 2025 and Q1 2026) as incentive pressure accelerated — suggesting the Street has now reset expectations more conservatively. On orders, PHM has been more inconsistent, missing in 4 of 8 quarters, though the last two quarters showed beats as the spec inventory normalization drove disciplined starts management.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the April 23 earnings call — no 8-K revisions, no conference updates. Management’s tone is cautiously constructive: Q2 is the margin trough, back-half recovery is the thesis, and the full-year framework is intact. The only shift is a subtle acknowledgment that lumber costs have “inflected higher” in recent weeks, which could pressure Q4 margins.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(April 23, 2026 — Q1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Closings (units)</w:t>
            </w:r>
          </w:p>
        </w:tc>
        <w:tc>
          <w:tcPr>
            <w:tcW w:type="dxa" w:w="1728"/>
          </w:tcPr>
          <w:p>
            <w:r>
              <w:rPr>
                <w:rFonts w:ascii="Calibri" w:hAnsi="Calibri"/>
                <w:sz w:val="22"/>
              </w:rPr>
              <w:t>6,700 – 7,100</w:t>
            </w:r>
          </w:p>
        </w:tc>
        <w:tc>
          <w:tcPr>
            <w:tcW w:type="dxa" w:w="1728"/>
          </w:tcPr>
          <w:p>
            <w:r>
              <w:rPr>
                <w:rFonts w:ascii="Calibri" w:hAnsi="Calibri"/>
                <w:sz w:val="22"/>
              </w:rPr>
              <w:t>—</w:t>
            </w:r>
          </w:p>
        </w:tc>
        <w:tc>
          <w:tcPr>
            <w:tcW w:type="dxa" w:w="1728"/>
          </w:tcPr>
          <w:p>
            <w:r>
              <w:rPr>
                <w:rFonts w:ascii="Calibri" w:hAnsi="Calibri"/>
                <w:sz w:val="22"/>
              </w:rPr>
              <w:t>6,994</w:t>
            </w:r>
          </w:p>
        </w:tc>
        <w:tc>
          <w:tcPr>
            <w:tcW w:type="dxa" w:w="1728"/>
          </w:tcPr>
          <w:p>
            <w:r>
              <w:rPr>
                <w:rFonts w:ascii="Calibri" w:hAnsi="Calibri"/>
                <w:sz w:val="22"/>
              </w:rPr>
              <w:t>Unchanged. Consensus at midpoint.</w:t>
            </w:r>
          </w:p>
        </w:tc>
      </w:tr>
      <w:tr>
        <w:tc>
          <w:tcPr>
            <w:tcW w:type="dxa" w:w="1728"/>
          </w:tcPr>
          <w:p>
            <w:r>
              <w:rPr>
                <w:rFonts w:ascii="Calibri" w:hAnsi="Calibri"/>
                <w:sz w:val="22"/>
              </w:rPr>
              <w:t>Q2 2026 ASP</w:t>
            </w:r>
          </w:p>
        </w:tc>
        <w:tc>
          <w:tcPr>
            <w:tcW w:type="dxa" w:w="1728"/>
          </w:tcPr>
          <w:p>
            <w:r>
              <w:rPr>
                <w:rFonts w:ascii="Calibri" w:hAnsi="Calibri"/>
                <w:sz w:val="22"/>
              </w:rPr>
              <w:t>$540K – $550K</w:t>
            </w:r>
          </w:p>
        </w:tc>
        <w:tc>
          <w:tcPr>
            <w:tcW w:type="dxa" w:w="1728"/>
          </w:tcPr>
          <w:p>
            <w:r>
              <w:rPr>
                <w:rFonts w:ascii="Calibri" w:hAnsi="Calibri"/>
                <w:sz w:val="22"/>
              </w:rPr>
              <w:t>—</w:t>
            </w:r>
          </w:p>
        </w:tc>
        <w:tc>
          <w:tcPr>
            <w:tcW w:type="dxa" w:w="1728"/>
          </w:tcPr>
          <w:p>
            <w:r>
              <w:rPr>
                <w:rFonts w:ascii="Calibri" w:hAnsi="Calibri"/>
                <w:sz w:val="22"/>
              </w:rPr>
              <w:t>$547K</w:t>
            </w:r>
          </w:p>
        </w:tc>
        <w:tc>
          <w:tcPr>
            <w:tcW w:type="dxa" w:w="1728"/>
          </w:tcPr>
          <w:p>
            <w:r>
              <w:rPr>
                <w:rFonts w:ascii="Calibri" w:hAnsi="Calibri"/>
                <w:sz w:val="22"/>
              </w:rPr>
              <w:t>Unchanged. Consensus slightly below midpoint ($545K).</w:t>
            </w:r>
          </w:p>
        </w:tc>
      </w:tr>
      <w:tr>
        <w:tc>
          <w:tcPr>
            <w:tcW w:type="dxa" w:w="1728"/>
          </w:tcPr>
          <w:p>
            <w:r>
              <w:rPr>
                <w:rFonts w:ascii="Calibri" w:hAnsi="Calibri"/>
                <w:sz w:val="22"/>
              </w:rPr>
              <w:t>Q2 2026 HB Gross Margin</w:t>
            </w:r>
          </w:p>
        </w:tc>
        <w:tc>
          <w:tcPr>
            <w:tcW w:type="dxa" w:w="1728"/>
          </w:tcPr>
          <w:p>
            <w:r>
              <w:rPr>
                <w:rFonts w:ascii="Calibri" w:hAnsi="Calibri"/>
                <w:sz w:val="22"/>
              </w:rPr>
              <w:t>24.1% – 24.4% (flagged as 2026 trough)</w:t>
            </w:r>
          </w:p>
        </w:tc>
        <w:tc>
          <w:tcPr>
            <w:tcW w:type="dxa" w:w="1728"/>
          </w:tcPr>
          <w:p>
            <w:r>
              <w:rPr>
                <w:rFonts w:ascii="Calibri" w:hAnsi="Calibri"/>
                <w:sz w:val="22"/>
              </w:rPr>
              <w:t>—</w:t>
            </w:r>
          </w:p>
        </w:tc>
        <w:tc>
          <w:tcPr>
            <w:tcW w:type="dxa" w:w="1728"/>
          </w:tcPr>
          <w:p>
            <w:r>
              <w:rPr>
                <w:rFonts w:ascii="Calibri" w:hAnsi="Calibri"/>
                <w:sz w:val="22"/>
              </w:rPr>
              <w:t>~24.3% (implied)</w:t>
            </w:r>
          </w:p>
        </w:tc>
        <w:tc>
          <w:tcPr>
            <w:tcW w:type="dxa" w:w="1728"/>
          </w:tcPr>
          <w:p>
            <w:r>
              <w:rPr>
                <w:rFonts w:ascii="Calibri" w:hAnsi="Calibri"/>
                <w:sz w:val="22"/>
              </w:rPr>
              <w:t>Unchanged. Trough language maintained.</w:t>
            </w:r>
          </w:p>
        </w:tc>
      </w:tr>
      <w:tr>
        <w:tc>
          <w:tcPr>
            <w:tcW w:type="dxa" w:w="1728"/>
          </w:tcPr>
          <w:p>
            <w:r>
              <w:rPr>
                <w:rFonts w:ascii="Calibri" w:hAnsi="Calibri"/>
                <w:sz w:val="22"/>
              </w:rPr>
              <w:t>FY 2026 Closings (units)</w:t>
            </w:r>
          </w:p>
        </w:tc>
        <w:tc>
          <w:tcPr>
            <w:tcW w:type="dxa" w:w="1728"/>
          </w:tcPr>
          <w:p>
            <w:r>
              <w:rPr>
                <w:rFonts w:ascii="Calibri" w:hAnsi="Calibri"/>
                <w:sz w:val="22"/>
              </w:rPr>
              <w:t>28,500 – 29,000</w:t>
            </w:r>
          </w:p>
        </w:tc>
        <w:tc>
          <w:tcPr>
            <w:tcW w:type="dxa" w:w="1728"/>
          </w:tcPr>
          <w:p>
            <w:r>
              <w:rPr>
                <w:rFonts w:ascii="Calibri" w:hAnsi="Calibri"/>
                <w:sz w:val="22"/>
              </w:rPr>
              <w:t>—</w:t>
            </w:r>
          </w:p>
        </w:tc>
        <w:tc>
          <w:tcPr>
            <w:tcW w:type="dxa" w:w="1728"/>
          </w:tcPr>
          <w:p>
            <w:r>
              <w:rPr>
                <w:rFonts w:ascii="Calibri" w:hAnsi="Calibri"/>
                <w:sz w:val="22"/>
              </w:rPr>
              <w:t>28,737</w:t>
            </w:r>
          </w:p>
        </w:tc>
        <w:tc>
          <w:tcPr>
            <w:tcW w:type="dxa" w:w="1728"/>
          </w:tcPr>
          <w:p>
            <w:r>
              <w:rPr>
                <w:rFonts w:ascii="Calibri" w:hAnsi="Calibri"/>
                <w:sz w:val="22"/>
              </w:rPr>
              <w:t>Unchanged. Consensus at low end of range.</w:t>
            </w:r>
          </w:p>
        </w:tc>
      </w:tr>
      <w:tr>
        <w:tc>
          <w:tcPr>
            <w:tcW w:type="dxa" w:w="1728"/>
          </w:tcPr>
          <w:p>
            <w:r>
              <w:rPr>
                <w:rFonts w:ascii="Calibri" w:hAnsi="Calibri"/>
                <w:sz w:val="22"/>
              </w:rPr>
              <w:t>FY 2026 ASP</w:t>
            </w:r>
          </w:p>
        </w:tc>
        <w:tc>
          <w:tcPr>
            <w:tcW w:type="dxa" w:w="1728"/>
          </w:tcPr>
          <w:p>
            <w:r>
              <w:rPr>
                <w:rFonts w:ascii="Calibri" w:hAnsi="Calibri"/>
                <w:sz w:val="22"/>
              </w:rPr>
              <w:t>$550K – $560K</w:t>
            </w:r>
          </w:p>
        </w:tc>
        <w:tc>
          <w:tcPr>
            <w:tcW w:type="dxa" w:w="1728"/>
          </w:tcPr>
          <w:p>
            <w:r>
              <w:rPr>
                <w:rFonts w:ascii="Calibri" w:hAnsi="Calibri"/>
                <w:sz w:val="22"/>
              </w:rPr>
              <w:t>—</w:t>
            </w:r>
          </w:p>
        </w:tc>
        <w:tc>
          <w:tcPr>
            <w:tcW w:type="dxa" w:w="1728"/>
          </w:tcPr>
          <w:p>
            <w:r>
              <w:rPr>
                <w:rFonts w:ascii="Calibri" w:hAnsi="Calibri"/>
                <w:sz w:val="22"/>
              </w:rPr>
              <w:t>$554K</w:t>
            </w:r>
          </w:p>
        </w:tc>
        <w:tc>
          <w:tcPr>
            <w:tcW w:type="dxa" w:w="1728"/>
          </w:tcPr>
          <w:p>
            <w:r>
              <w:rPr>
                <w:rFonts w:ascii="Calibri" w:hAnsi="Calibri"/>
                <w:sz w:val="22"/>
              </w:rPr>
              <w:t>Unchanged. Consensus below midpoint; higher BTO mix in H2 expected to lift ASP.</w:t>
            </w:r>
          </w:p>
        </w:tc>
      </w:tr>
      <w:tr>
        <w:tc>
          <w:tcPr>
            <w:tcW w:type="dxa" w:w="1728"/>
          </w:tcPr>
          <w:p>
            <w:r>
              <w:rPr>
                <w:rFonts w:ascii="Calibri" w:hAnsi="Calibri"/>
                <w:sz w:val="22"/>
              </w:rPr>
              <w:t>FY 2026 HB Gross Margin</w:t>
            </w:r>
          </w:p>
        </w:tc>
        <w:tc>
          <w:tcPr>
            <w:tcW w:type="dxa" w:w="1728"/>
          </w:tcPr>
          <w:p>
            <w:r>
              <w:rPr>
                <w:rFonts w:ascii="Calibri" w:hAnsi="Calibri"/>
                <w:sz w:val="22"/>
              </w:rPr>
              <w:t>24.5% – 25.0% (likely toward lower end)</w:t>
            </w:r>
          </w:p>
        </w:tc>
        <w:tc>
          <w:tcPr>
            <w:tcW w:type="dxa" w:w="1728"/>
          </w:tcPr>
          <w:p>
            <w:r>
              <w:rPr>
                <w:rFonts w:ascii="Calibri" w:hAnsi="Calibri"/>
                <w:sz w:val="22"/>
              </w:rPr>
              <w:t>—</w:t>
            </w:r>
          </w:p>
        </w:tc>
        <w:tc>
          <w:tcPr>
            <w:tcW w:type="dxa" w:w="1728"/>
          </w:tcPr>
          <w:p>
            <w:r>
              <w:rPr>
                <w:rFonts w:ascii="Calibri" w:hAnsi="Calibri"/>
                <w:sz w:val="22"/>
              </w:rPr>
              <w:t>~24.0% (implied from gross profit consensus)</w:t>
            </w:r>
          </w:p>
        </w:tc>
        <w:tc>
          <w:tcPr>
            <w:tcW w:type="dxa" w:w="1728"/>
          </w:tcPr>
          <w:p>
            <w:r>
              <w:rPr>
                <w:rFonts w:ascii="Calibri" w:hAnsi="Calibri"/>
                <w:sz w:val="22"/>
              </w:rPr>
              <w:t>Unchanged. Consensus slightly below guidance floor; lumber cost uptick is a watch item.</w:t>
            </w:r>
          </w:p>
        </w:tc>
      </w:tr>
      <w:tr>
        <w:tc>
          <w:tcPr>
            <w:tcW w:type="dxa" w:w="1728"/>
          </w:tcPr>
          <w:p>
            <w:r>
              <w:rPr>
                <w:rFonts w:ascii="Calibri" w:hAnsi="Calibri"/>
                <w:sz w:val="22"/>
              </w:rPr>
              <w:t>FY 2026 SG&amp;A (% of home sale revenues)</w:t>
            </w:r>
          </w:p>
        </w:tc>
        <w:tc>
          <w:tcPr>
            <w:tcW w:type="dxa" w:w="1728"/>
          </w:tcPr>
          <w:p>
            <w:r>
              <w:rPr>
                <w:rFonts w:ascii="Calibri" w:hAnsi="Calibri"/>
                <w:sz w:val="22"/>
              </w:rPr>
              <w:t>9.5% – 9.7%</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w:t>
            </w:r>
          </w:p>
        </w:tc>
      </w:tr>
      <w:tr>
        <w:tc>
          <w:tcPr>
            <w:tcW w:type="dxa" w:w="1728"/>
          </w:tcPr>
          <w:p>
            <w:r>
              <w:rPr>
                <w:rFonts w:ascii="Calibri" w:hAnsi="Calibri"/>
                <w:sz w:val="22"/>
              </w:rPr>
              <w:t>FY 2026 Land Spend</w:t>
            </w:r>
          </w:p>
        </w:tc>
        <w:tc>
          <w:tcPr>
            <w:tcW w:type="dxa" w:w="1728"/>
          </w:tcPr>
          <w:p>
            <w:r>
              <w:rPr>
                <w:rFonts w:ascii="Calibri" w:hAnsi="Calibri"/>
                <w:sz w:val="22"/>
              </w:rPr>
              <w:t>$5.4B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Supports 3%–5% community count growth.</w:t>
            </w:r>
          </w:p>
        </w:tc>
      </w:tr>
      <w:tr>
        <w:tc>
          <w:tcPr>
            <w:tcW w:type="dxa" w:w="1728"/>
          </w:tcPr>
          <w:p>
            <w:r>
              <w:rPr>
                <w:rFonts w:ascii="Calibri" w:hAnsi="Calibri"/>
                <w:sz w:val="22"/>
              </w:rPr>
              <w:t>FY 2026 Cash Flow</w:t>
            </w:r>
          </w:p>
        </w:tc>
        <w:tc>
          <w:tcPr>
            <w:tcW w:type="dxa" w:w="1728"/>
          </w:tcPr>
          <w:p>
            <w:r>
              <w:rPr>
                <w:rFonts w:ascii="Calibri" w:hAnsi="Calibri"/>
                <w:sz w:val="22"/>
              </w:rPr>
              <w:t>~$1.0B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BTO inventory build in H2 is primary drag.</w:t>
            </w:r>
          </w:p>
        </w:tc>
      </w:tr>
    </w:tbl>
    <w:p>
      <w:r>
        <w:rPr>
          <w:rFonts w:ascii="Calibri" w:hAnsi="Calibri"/>
          <w:i/>
          <w:color w:val="525866"/>
          <w:sz w:val="22"/>
        </w:rPr>
        <w:t>Source: PulteGroup Q1 2026 Earnings Call transcript and Earnings Release (April 23,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post-Q1 reset — EPS for Q2 has barely moved ($2.374 → $2.363) and full-year estimates are essentially flat. The lack of downward revision momentum is a mild positive: the Street has absorbed the Q1 miss and is not adding incremental risk ahead of the print. Consensus sits modestly below guidance midpoints on most metrics, providing a low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Estimate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23,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Operating EPS — Q2 2026</w:t>
            </w:r>
          </w:p>
        </w:tc>
        <w:tc>
          <w:tcPr>
            <w:tcW w:type="dxa" w:w="1080"/>
          </w:tcPr>
          <w:p>
            <w:r>
              <w:rPr>
                <w:rFonts w:ascii="Calibri" w:hAnsi="Calibri"/>
                <w:sz w:val="22"/>
              </w:rPr>
              <w:t>$2.374</w:t>
            </w:r>
          </w:p>
        </w:tc>
        <w:tc>
          <w:tcPr>
            <w:tcW w:type="dxa" w:w="1080"/>
          </w:tcPr>
          <w:p>
            <w:r>
              <w:rPr>
                <w:rFonts w:ascii="Calibri" w:hAnsi="Calibri"/>
                <w:sz w:val="22"/>
              </w:rPr>
              <w:t>$2.363</w:t>
            </w:r>
          </w:p>
        </w:tc>
        <w:tc>
          <w:tcPr>
            <w:tcW w:type="dxa" w:w="1080"/>
          </w:tcPr>
          <w:p>
            <w:r>
              <w:rPr>
                <w:rFonts w:ascii="Calibri" w:hAnsi="Calibri"/>
                <w:sz w:val="22"/>
              </w:rPr>
              <w:t>−0.5%</w:t>
            </w:r>
          </w:p>
        </w:tc>
        <w:tc>
          <w:tcPr>
            <w:tcW w:type="dxa" w:w="1080"/>
          </w:tcPr>
          <w:p>
            <w:r>
              <w:rPr>
                <w:rFonts w:ascii="Calibri" w:hAnsi="Calibri"/>
                <w:sz w:val="22"/>
              </w:rPr>
              <w:t>N/A (no explicit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Operating EPS — FY 2026</w:t>
            </w:r>
          </w:p>
        </w:tc>
        <w:tc>
          <w:tcPr>
            <w:tcW w:type="dxa" w:w="1080"/>
          </w:tcPr>
          <w:p>
            <w:r>
              <w:rPr>
                <w:rFonts w:ascii="Calibri" w:hAnsi="Calibri"/>
                <w:sz w:val="22"/>
              </w:rPr>
              <w:t>$10.054</w:t>
            </w:r>
          </w:p>
        </w:tc>
        <w:tc>
          <w:tcPr>
            <w:tcW w:type="dxa" w:w="1080"/>
          </w:tcPr>
          <w:p>
            <w:r>
              <w:rPr>
                <w:rFonts w:ascii="Calibri" w:hAnsi="Calibri"/>
                <w:sz w:val="22"/>
              </w:rPr>
              <w:t>$10.034</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Q2 2026</w:t>
            </w:r>
          </w:p>
        </w:tc>
        <w:tc>
          <w:tcPr>
            <w:tcW w:type="dxa" w:w="1080"/>
          </w:tcPr>
          <w:p>
            <w:r>
              <w:rPr>
                <w:rFonts w:ascii="Calibri" w:hAnsi="Calibri"/>
                <w:sz w:val="22"/>
              </w:rPr>
              <w:t>$3.950B</w:t>
            </w:r>
          </w:p>
        </w:tc>
        <w:tc>
          <w:tcPr>
            <w:tcW w:type="dxa" w:w="1080"/>
          </w:tcPr>
          <w:p>
            <w:r>
              <w:rPr>
                <w:rFonts w:ascii="Calibri" w:hAnsi="Calibri"/>
                <w:sz w:val="22"/>
              </w:rPr>
              <w:t>$3.941B</w:t>
            </w:r>
          </w:p>
        </w:tc>
        <w:tc>
          <w:tcPr>
            <w:tcW w:type="dxa" w:w="1080"/>
          </w:tcPr>
          <w:p>
            <w:r>
              <w:rPr>
                <w:rFonts w:ascii="Calibri" w:hAnsi="Calibri"/>
                <w:sz w:val="22"/>
              </w:rPr>
              <w:t>−0.2%</w:t>
            </w:r>
          </w:p>
        </w:tc>
        <w:tc>
          <w:tcPr>
            <w:tcW w:type="dxa" w:w="1080"/>
          </w:tcPr>
          <w:p>
            <w:r>
              <w:rPr>
                <w:rFonts w:ascii="Calibri" w:hAnsi="Calibri"/>
                <w:sz w:val="22"/>
              </w:rPr>
              <w:t>Implied ~$3.74B–$3.91B (closings × ASP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implied guide range</w:t>
            </w:r>
          </w:p>
        </w:tc>
      </w:tr>
      <w:tr>
        <w:tc>
          <w:tcPr>
            <w:tcW w:type="dxa" w:w="1080"/>
          </w:tcPr>
          <w:p>
            <w:r>
              <w:rPr>
                <w:rFonts w:ascii="Calibri" w:hAnsi="Calibri"/>
                <w:sz w:val="22"/>
              </w:rPr>
              <w:t>Revenue — FY 2026</w:t>
            </w:r>
          </w:p>
        </w:tc>
        <w:tc>
          <w:tcPr>
            <w:tcW w:type="dxa" w:w="1080"/>
          </w:tcPr>
          <w:p>
            <w:r>
              <w:rPr>
                <w:rFonts w:ascii="Calibri" w:hAnsi="Calibri"/>
                <w:sz w:val="22"/>
              </w:rPr>
              <w:t>$16.456B</w:t>
            </w:r>
          </w:p>
        </w:tc>
        <w:tc>
          <w:tcPr>
            <w:tcW w:type="dxa" w:w="1080"/>
          </w:tcPr>
          <w:p>
            <w:r>
              <w:rPr>
                <w:rFonts w:ascii="Calibri" w:hAnsi="Calibri"/>
                <w:sz w:val="22"/>
              </w:rPr>
              <w:t>$16.435B</w:t>
            </w:r>
          </w:p>
        </w:tc>
        <w:tc>
          <w:tcPr>
            <w:tcW w:type="dxa" w:w="1080"/>
          </w:tcPr>
          <w:p>
            <w:r>
              <w:rPr>
                <w:rFonts w:ascii="Calibri" w:hAnsi="Calibri"/>
                <w:sz w:val="22"/>
              </w:rPr>
              <w:t>−0.1%</w:t>
            </w:r>
          </w:p>
        </w:tc>
        <w:tc>
          <w:tcPr>
            <w:tcW w:type="dxa" w:w="1080"/>
          </w:tcPr>
          <w:p>
            <w:r>
              <w:rPr>
                <w:rFonts w:ascii="Calibri" w:hAnsi="Calibri"/>
                <w:sz w:val="22"/>
              </w:rPr>
              <w:t>Implied ~$15.7B–$16.2B (28,500–29,000 × $550K–$560K)</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above implied guide range</w:t>
            </w:r>
          </w:p>
        </w:tc>
      </w:tr>
      <w:tr>
        <w:tc>
          <w:tcPr>
            <w:tcW w:type="dxa" w:w="1080"/>
          </w:tcPr>
          <w:p>
            <w:r>
              <w:rPr>
                <w:rFonts w:ascii="Calibri" w:hAnsi="Calibri"/>
                <w:sz w:val="22"/>
              </w:rPr>
              <w:t>Net New Orders — Q2 2026</w:t>
            </w:r>
          </w:p>
        </w:tc>
        <w:tc>
          <w:tcPr>
            <w:tcW w:type="dxa" w:w="1080"/>
          </w:tcPr>
          <w:p>
            <w:r>
              <w:rPr>
                <w:rFonts w:ascii="Calibri" w:hAnsi="Calibri"/>
                <w:sz w:val="22"/>
              </w:rPr>
              <w:t>7,488</w:t>
            </w:r>
          </w:p>
        </w:tc>
        <w:tc>
          <w:tcPr>
            <w:tcW w:type="dxa" w:w="1080"/>
          </w:tcPr>
          <w:p>
            <w:r>
              <w:rPr>
                <w:rFonts w:ascii="Calibri" w:hAnsi="Calibri"/>
                <w:sz w:val="22"/>
              </w:rPr>
              <w:t>7,494</w:t>
            </w:r>
          </w:p>
        </w:tc>
        <w:tc>
          <w:tcPr>
            <w:tcW w:type="dxa" w:w="1080"/>
          </w:tcPr>
          <w:p>
            <w:r>
              <w:rPr>
                <w:rFonts w:ascii="Calibri" w:hAnsi="Calibri"/>
                <w:sz w:val="22"/>
              </w:rPr>
              <w:t>+0.1%</w:t>
            </w:r>
          </w:p>
        </w:tc>
        <w:tc>
          <w:tcPr>
            <w:tcW w:type="dxa" w:w="1080"/>
          </w:tcPr>
          <w:p>
            <w:r>
              <w:rPr>
                <w:rFonts w:ascii="Calibri" w:hAnsi="Calibri"/>
                <w:sz w:val="22"/>
              </w:rPr>
              <w:t>N/A (no explicit orders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New Orders — FY 2026</w:t>
            </w:r>
          </w:p>
        </w:tc>
        <w:tc>
          <w:tcPr>
            <w:tcW w:type="dxa" w:w="1080"/>
          </w:tcPr>
          <w:p>
            <w:r>
              <w:rPr>
                <w:rFonts w:ascii="Calibri" w:hAnsi="Calibri"/>
                <w:sz w:val="22"/>
              </w:rPr>
              <w:t>28,957</w:t>
            </w:r>
          </w:p>
        </w:tc>
        <w:tc>
          <w:tcPr>
            <w:tcW w:type="dxa" w:w="1080"/>
          </w:tcPr>
          <w:p>
            <w:r>
              <w:rPr>
                <w:rFonts w:ascii="Calibri" w:hAnsi="Calibri"/>
                <w:sz w:val="22"/>
              </w:rPr>
              <w:t>28,974</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Closings — Q2 2026</w:t>
            </w:r>
          </w:p>
        </w:tc>
        <w:tc>
          <w:tcPr>
            <w:tcW w:type="dxa" w:w="1080"/>
          </w:tcPr>
          <w:p>
            <w:r>
              <w:rPr>
                <w:rFonts w:ascii="Calibri" w:hAnsi="Calibri"/>
                <w:sz w:val="22"/>
              </w:rPr>
              <w:t>6,994</w:t>
            </w:r>
          </w:p>
        </w:tc>
        <w:tc>
          <w:tcPr>
            <w:tcW w:type="dxa" w:w="1080"/>
          </w:tcPr>
          <w:p>
            <w:r>
              <w:rPr>
                <w:rFonts w:ascii="Calibri" w:hAnsi="Calibri"/>
                <w:sz w:val="22"/>
              </w:rPr>
              <w:t>6,994</w:t>
            </w:r>
          </w:p>
        </w:tc>
        <w:tc>
          <w:tcPr>
            <w:tcW w:type="dxa" w:w="1080"/>
          </w:tcPr>
          <w:p>
            <w:r>
              <w:rPr>
                <w:rFonts w:ascii="Calibri" w:hAnsi="Calibri"/>
                <w:sz w:val="22"/>
              </w:rPr>
              <w:t>0.0%</w:t>
            </w:r>
          </w:p>
        </w:tc>
        <w:tc>
          <w:tcPr>
            <w:tcW w:type="dxa" w:w="1080"/>
          </w:tcPr>
          <w:p>
            <w:r>
              <w:rPr>
                <w:rFonts w:ascii="Calibri" w:hAnsi="Calibri"/>
                <w:sz w:val="22"/>
              </w:rPr>
              <w:t>6,700 – 7,100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Closings — FY 2026</w:t>
            </w:r>
          </w:p>
        </w:tc>
        <w:tc>
          <w:tcPr>
            <w:tcW w:type="dxa" w:w="1080"/>
          </w:tcPr>
          <w:p>
            <w:r>
              <w:rPr>
                <w:rFonts w:ascii="Calibri" w:hAnsi="Calibri"/>
                <w:sz w:val="22"/>
              </w:rPr>
              <w:t>28,731</w:t>
            </w:r>
          </w:p>
        </w:tc>
        <w:tc>
          <w:tcPr>
            <w:tcW w:type="dxa" w:w="1080"/>
          </w:tcPr>
          <w:p>
            <w:r>
              <w:rPr>
                <w:rFonts w:ascii="Calibri" w:hAnsi="Calibri"/>
                <w:sz w:val="22"/>
              </w:rPr>
              <w:t>28,737</w:t>
            </w:r>
          </w:p>
        </w:tc>
        <w:tc>
          <w:tcPr>
            <w:tcW w:type="dxa" w:w="1080"/>
          </w:tcPr>
          <w:p>
            <w:r>
              <w:rPr>
                <w:rFonts w:ascii="Calibri" w:hAnsi="Calibri"/>
                <w:sz w:val="22"/>
              </w:rPr>
              <w:t>+0.0%</w:t>
            </w:r>
          </w:p>
        </w:tc>
        <w:tc>
          <w:tcPr>
            <w:tcW w:type="dxa" w:w="1080"/>
          </w:tcPr>
          <w:p>
            <w:r>
              <w:rPr>
                <w:rFonts w:ascii="Calibri" w:hAnsi="Calibri"/>
                <w:sz w:val="22"/>
              </w:rPr>
              <w:t>28,500 – 29,000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midpoint</w:t>
            </w:r>
          </w:p>
        </w:tc>
      </w:tr>
    </w:tbl>
    <w:p>
      <w:r>
        <w:rPr>
          <w:rFonts w:ascii="Calibri" w:hAnsi="Calibri"/>
          <w:color w:val="525866"/>
          <w:sz w:val="22"/>
        </w:rPr>
        <w:t>The near-total absence of estimate revision activity since the April 30 post-earnings baseline is notable: in a quarter where management explicitly called the gross margin trough and flagged lumber cost inflation, the Street has chosen to hold rather than cut. This creates a setup where the risk is asymmetric to the upside — any positive surprise on incentive trajectory or orders could trigger upward revisions, while a miss would simply confirm what is already priced in.</w:t>
      </w:r>
    </w:p>
    <w:p>
      <w:r>
        <w:rPr>
          <w:rFonts w:ascii="Calibri" w:hAnsi="Calibri"/>
          <w:i/>
          <w:color w:val="525866"/>
          <w:sz w:val="22"/>
        </w:rPr>
        <w:t>Source: Visible Alpha Consensus and Actuals Data; PulteGroup Q1 2026 Earnings Call (April 23,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PHM has underperformed ITB since Q1 earnings but both have lagged the S&amp;P 500 meaningfully. The stock’s recent move is </w:t>
      </w:r>
      <w:r>
        <w:rPr>
          <w:rFonts w:ascii="Calibri" w:hAnsi="Calibri"/>
          <w:b/>
          <w:color w:val="525866"/>
          <w:sz w:val="22"/>
        </w:rPr>
        <w:t>multiple-driven compression</w:t>
      </w:r>
      <w:r>
        <w:rPr>
          <w:rFonts w:ascii="Calibri" w:hAnsi="Calibri"/>
          <w:color w:val="525866"/>
          <w:sz w:val="22"/>
        </w:rPr>
        <w:t xml:space="preserve"> — NTM P/E has contracted from ~12.2x to ~11.6x over three months — not estimate cuts, suggesting sentiment rather than fundamentals is the primary headwind.</w:t>
      </w:r>
    </w:p>
    <w:p>
      <w:r>
        <w:rPr>
          <w:rFonts w:ascii="Calibri" w:hAnsi="Calibri"/>
          <w:color w:val="525866"/>
          <w:sz w:val="22"/>
        </w:rPr>
        <w:t>The chart below shows PHM, ITB (iShares U.S. Home Construction ETF), and SPY (S&amp;P 500 ETF) indexed to 100 at the Q1 2026 earnings date (April 23, 2026). Key events are marked.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PHM</w:t>
            </w:r>
          </w:p>
        </w:tc>
        <w:tc>
          <w:tcPr>
            <w:tcW w:type="dxa" w:w="2160"/>
            <w:shd w:val="clear" w:color="auto" w:fill="3B4259"/>
          </w:tcPr>
          <w:p>
            <w:r>
              <w:rPr>
                <w:rFonts w:ascii="Calibri" w:hAnsi="Calibri"/>
                <w:b/>
                <w:color w:val="FFFFFF"/>
                <w:sz w:val="22"/>
              </w:rPr>
              <w:t>ITB</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23, 2026)</w:t>
            </w:r>
          </w:p>
        </w:tc>
        <w:tc>
          <w:tcPr>
            <w:tcW w:type="dxa" w:w="2160"/>
          </w:tcPr>
          <w:p>
            <w:r>
              <w:rPr>
                <w:rFonts w:ascii="Calibri" w:hAnsi="Calibri"/>
                <w:sz w:val="22"/>
              </w:rPr>
              <w:t>$130.64</w:t>
            </w:r>
          </w:p>
        </w:tc>
        <w:tc>
          <w:tcPr>
            <w:tcW w:type="dxa" w:w="2160"/>
          </w:tcPr>
          <w:p>
            <w:r>
              <w:rPr>
                <w:rFonts w:ascii="Calibri" w:hAnsi="Calibri"/>
                <w:sz w:val="22"/>
              </w:rPr>
              <w:t>$100.83</w:t>
            </w:r>
          </w:p>
        </w:tc>
        <w:tc>
          <w:tcPr>
            <w:tcW w:type="dxa" w:w="2160"/>
          </w:tcPr>
          <w:p>
            <w:r>
              <w:rPr>
                <w:rFonts w:ascii="Calibri" w:hAnsi="Calibri"/>
                <w:sz w:val="22"/>
              </w:rPr>
              <w:t>$708.45</w:t>
            </w:r>
          </w:p>
        </w:tc>
      </w:tr>
      <w:tr>
        <w:tc>
          <w:tcPr>
            <w:tcW w:type="dxa" w:w="2160"/>
          </w:tcPr>
          <w:p>
            <w:r>
              <w:rPr>
                <w:rFonts w:ascii="Calibri" w:hAnsi="Calibri"/>
                <w:sz w:val="22"/>
              </w:rPr>
              <w:t>Price on Jul 21, 2026</w:t>
            </w:r>
          </w:p>
        </w:tc>
        <w:tc>
          <w:tcPr>
            <w:tcW w:type="dxa" w:w="2160"/>
          </w:tcPr>
          <w:p>
            <w:r>
              <w:rPr>
                <w:rFonts w:ascii="Calibri" w:hAnsi="Calibri"/>
                <w:sz w:val="22"/>
              </w:rPr>
              <w:t>$124.26</w:t>
            </w:r>
          </w:p>
        </w:tc>
        <w:tc>
          <w:tcPr>
            <w:tcW w:type="dxa" w:w="2160"/>
          </w:tcPr>
          <w:p>
            <w:r>
              <w:rPr>
                <w:rFonts w:ascii="Calibri" w:hAnsi="Calibri"/>
                <w:sz w:val="22"/>
              </w:rPr>
              <w:t>$94.93</w:t>
            </w:r>
          </w:p>
        </w:tc>
        <w:tc>
          <w:tcPr>
            <w:tcW w:type="dxa" w:w="2160"/>
          </w:tcPr>
          <w:p>
            <w:r>
              <w:rPr>
                <w:rFonts w:ascii="Calibri" w:hAnsi="Calibri"/>
                <w:sz w:val="22"/>
              </w:rPr>
              <w:t>$748.28</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−4.9%</w:t>
            </w:r>
          </w:p>
        </w:tc>
        <w:tc>
          <w:tcPr>
            <w:tcW w:type="dxa" w:w="2160"/>
          </w:tcPr>
          <w:p>
            <w:r>
              <w:rPr>
                <w:rFonts w:ascii="Calibri" w:hAnsi="Calibri"/>
                <w:b/>
                <w:color w:val="E5484D"/>
                <w:sz w:val="22"/>
              </w:rPr>
              <w:t>−5.9%</w:t>
            </w:r>
          </w:p>
        </w:tc>
        <w:tc>
          <w:tcPr>
            <w:tcW w:type="dxa" w:w="2160"/>
          </w:tcPr>
          <w:p>
            <w:r>
              <w:rPr>
                <w:rFonts w:ascii="Calibri" w:hAnsi="Calibri"/>
                <w:b/>
                <w:color w:val="30A46C"/>
                <w:sz w:val="22"/>
              </w:rPr>
              <w:t>+5.6%</w:t>
            </w:r>
          </w:p>
        </w:tc>
      </w:tr>
      <w:tr>
        <w:tc>
          <w:tcPr>
            <w:tcW w:type="dxa" w:w="2160"/>
          </w:tcPr>
          <w:p>
            <w:r>
              <w:rPr>
                <w:rFonts w:ascii="Calibri" w:hAnsi="Calibri"/>
                <w:sz w:val="22"/>
              </w:rPr>
              <w:t>Period Low (indexed)</w:t>
            </w:r>
          </w:p>
        </w:tc>
        <w:tc>
          <w:tcPr>
            <w:tcW w:type="dxa" w:w="2160"/>
          </w:tcPr>
          <w:p>
            <w:r>
              <w:rPr>
                <w:rFonts w:ascii="Calibri" w:hAnsi="Calibri"/>
                <w:sz w:val="22"/>
              </w:rPr>
              <w:t>$110.11 (May 15) — indexed ~84</w:t>
            </w:r>
          </w:p>
        </w:tc>
        <w:tc>
          <w:tcPr>
            <w:tcW w:type="dxa" w:w="2160"/>
          </w:tcPr>
          <w:p>
            <w:r>
              <w:rPr>
                <w:rFonts w:ascii="Calibri" w:hAnsi="Calibri"/>
                <w:sz w:val="22"/>
              </w:rPr>
              <w:t>$86.45 (May 15) — indexed ~86</w:t>
            </w:r>
          </w:p>
        </w:tc>
        <w:tc>
          <w:tcPr>
            <w:tcW w:type="dxa" w:w="2160"/>
          </w:tcPr>
          <w:p>
            <w:r>
              <w:rPr>
                <w:rFonts w:ascii="Calibri" w:hAnsi="Calibri"/>
                <w:sz w:val="22"/>
              </w:rPr>
              <w:t>$725.43 (Jun 10) — indexed ~102</w:t>
            </w:r>
          </w:p>
        </w:tc>
      </w:tr>
      <w:tr>
        <w:tc>
          <w:tcPr>
            <w:tcW w:type="dxa" w:w="2160"/>
          </w:tcPr>
          <w:p>
            <w:r>
              <w:rPr>
                <w:rFonts w:ascii="Calibri" w:hAnsi="Calibri"/>
                <w:sz w:val="22"/>
              </w:rPr>
              <w:t>Period High (indexed)</w:t>
            </w:r>
          </w:p>
        </w:tc>
        <w:tc>
          <w:tcPr>
            <w:tcW w:type="dxa" w:w="2160"/>
          </w:tcPr>
          <w:p>
            <w:r>
              <w:rPr>
                <w:rFonts w:ascii="Calibri" w:hAnsi="Calibri"/>
                <w:sz w:val="22"/>
              </w:rPr>
              <w:t>$137.94 (Jun 29) — indexed ~106</w:t>
            </w:r>
          </w:p>
        </w:tc>
        <w:tc>
          <w:tcPr>
            <w:tcW w:type="dxa" w:w="2160"/>
          </w:tcPr>
          <w:p>
            <w:r>
              <w:rPr>
                <w:rFonts w:ascii="Calibri" w:hAnsi="Calibri"/>
                <w:sz w:val="22"/>
              </w:rPr>
              <w:t>$104.90 (Jun 26) — indexed ~104</w:t>
            </w:r>
          </w:p>
        </w:tc>
        <w:tc>
          <w:tcPr>
            <w:tcW w:type="dxa" w:w="2160"/>
          </w:tcPr>
          <w:p>
            <w:r>
              <w:rPr>
                <w:rFonts w:ascii="Calibri" w:hAnsi="Calibri"/>
                <w:sz w:val="22"/>
              </w:rPr>
              <w:t>$759.57 (Jun 2) — indexed ~107</w:t>
            </w:r>
          </w:p>
        </w:tc>
      </w:tr>
      <w:tr>
        <w:tc>
          <w:tcPr>
            <w:tcW w:type="dxa" w:w="2160"/>
          </w:tcPr>
          <w:p>
            <w:r>
              <w:rPr>
                <w:rFonts w:ascii="Calibri" w:hAnsi="Calibri"/>
                <w:sz w:val="22"/>
              </w:rPr>
              <w:t>NTM P/E (current)</w:t>
            </w:r>
          </w:p>
        </w:tc>
        <w:tc>
          <w:tcPr>
            <w:tcW w:type="dxa" w:w="2160"/>
          </w:tcPr>
          <w:p>
            <w:r>
              <w:rPr>
                <w:rFonts w:ascii="Calibri" w:hAnsi="Calibri"/>
                <w:sz w:val="22"/>
              </w:rPr>
              <w:t>11.6x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EV/EBITDA (current)</w:t>
            </w:r>
          </w:p>
        </w:tc>
        <w:tc>
          <w:tcPr>
            <w:tcW w:type="dxa" w:w="2160"/>
          </w:tcPr>
          <w:p>
            <w:r>
              <w:rPr>
                <w:rFonts w:ascii="Calibri" w:hAnsi="Calibri"/>
                <w:sz w:val="22"/>
              </w:rPr>
              <w:t>8.85x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color w:val="525866"/>
          <w:sz w:val="22"/>
        </w:rPr>
        <w:t>Key Events Since Q1 Earnings (April 23, 2026):</w:t>
      </w:r>
    </w:p>
    <w:p>
      <w:pPr>
        <w:pStyle w:val="ListBullet"/>
        <w:ind w:left="360" w:hanging="360"/>
      </w:pPr>
      <w:r>
        <w:rPr>
          <w:rFonts w:ascii="Calibri" w:hAnsi="Calibri"/>
          <w:b/>
          <w:color w:val="525866"/>
          <w:sz w:val="22"/>
        </w:rPr>
        <w:t>April 23, 2026:</w:t>
      </w:r>
      <w:r>
        <w:rPr>
          <w:rFonts w:ascii="Calibri" w:hAnsi="Calibri"/>
          <w:color w:val="525866"/>
          <w:sz w:val="22"/>
        </w:rPr>
        <w:t xml:space="preserve"> Q1 2026 earnings — EPS miss, revenue beat; stock initially fell pre-market but recovered to close modestly higher. Full-year guidance reaffirmed.</w:t>
      </w:r>
    </w:p>
    <w:p>
      <w:pPr>
        <w:pStyle w:val="ListBullet"/>
        <w:ind w:left="360" w:hanging="360"/>
      </w:pPr>
      <w:r>
        <w:rPr>
          <w:rFonts w:ascii="Calibri" w:hAnsi="Calibri"/>
          <w:b/>
          <w:color w:val="525866"/>
          <w:sz w:val="22"/>
        </w:rPr>
        <w:t>May 15, 2026:</w:t>
      </w:r>
      <w:r>
        <w:rPr>
          <w:rFonts w:ascii="Calibri" w:hAnsi="Calibri"/>
          <w:color w:val="525866"/>
          <w:sz w:val="22"/>
        </w:rPr>
        <w:t xml:space="preserve"> PHM and ITB hit period lows (~$110 and ~$86 respectively) amid broader homebuilder sector weakness and macro uncertainty around rates and tariffs.</w:t>
      </w:r>
    </w:p>
    <w:p>
      <w:pPr>
        <w:pStyle w:val="ListBullet"/>
        <w:ind w:left="360" w:hanging="360"/>
      </w:pPr>
      <w:r>
        <w:rPr>
          <w:rFonts w:ascii="Calibri" w:hAnsi="Calibri"/>
          <w:b/>
          <w:color w:val="525866"/>
          <w:sz w:val="22"/>
        </w:rPr>
        <w:t>June 11–12, 2026:</w:t>
      </w:r>
      <w:r>
        <w:rPr>
          <w:rFonts w:ascii="Calibri" w:hAnsi="Calibri"/>
          <w:color w:val="525866"/>
          <w:sz w:val="22"/>
        </w:rPr>
        <w:t xml:space="preserve"> Lennar (LEN) Q2 2026 earnings — reported declining incentives for first time in three years; PHM and ITB rallied sharply on the read-through (PHM +5.5% on June 11).</w:t>
      </w:r>
    </w:p>
    <w:p>
      <w:pPr>
        <w:pStyle w:val="ListBullet"/>
        <w:ind w:left="360" w:hanging="360"/>
      </w:pPr>
      <w:r>
        <w:rPr>
          <w:rFonts w:ascii="Calibri" w:hAnsi="Calibri"/>
          <w:b/>
          <w:color w:val="525866"/>
          <w:sz w:val="22"/>
        </w:rPr>
        <w:t>June 24–26, 2026:</w:t>
      </w:r>
      <w:r>
        <w:rPr>
          <w:rFonts w:ascii="Calibri" w:hAnsi="Calibri"/>
          <w:color w:val="525866"/>
          <w:sz w:val="22"/>
        </w:rPr>
        <w:t xml:space="preserve"> PHM surged to period high (~$137–$138) on housing legislation passage (21st Century Road to Housing Act signed into law July 11) and improving sector sentiment.</w:t>
      </w:r>
    </w:p>
    <w:p>
      <w:pPr>
        <w:pStyle w:val="ListBullet"/>
        <w:ind w:left="360" w:hanging="360"/>
      </w:pPr>
      <w:r>
        <w:rPr>
          <w:rFonts w:ascii="Calibri" w:hAnsi="Calibri"/>
          <w:b/>
          <w:color w:val="525866"/>
          <w:sz w:val="22"/>
        </w:rPr>
        <w:t>July 8, 2026:</w:t>
      </w:r>
      <w:r>
        <w:rPr>
          <w:rFonts w:ascii="Calibri" w:hAnsi="Calibri"/>
          <w:color w:val="525866"/>
          <w:sz w:val="22"/>
        </w:rPr>
        <w:t xml:space="preserve"> PHM dropped ~$7 (to ~$123) on renewed Middle East tensions and rate/inflation concerns; ITB also fell sharply.</w:t>
      </w:r>
    </w:p>
    <w:p>
      <w:pPr>
        <w:pStyle w:val="ListBullet"/>
        <w:ind w:left="360" w:hanging="360"/>
      </w:pPr>
      <w:r>
        <w:rPr>
          <w:rFonts w:ascii="Calibri" w:hAnsi="Calibri"/>
          <w:b/>
          <w:color w:val="525866"/>
          <w:sz w:val="22"/>
        </w:rPr>
        <w:t>July 21, 2026:</w:t>
      </w:r>
      <w:r>
        <w:rPr>
          <w:rFonts w:ascii="Calibri" w:hAnsi="Calibri"/>
          <w:color w:val="525866"/>
          <w:sz w:val="22"/>
        </w:rPr>
        <w:t xml:space="preserve"> D.R. Horton (DHI) reports Q3 FY2026 results — closings at high end of guidance, gross margin above guidance; mixed read-through for PHM (see Peer Commentary section).</w:t>
      </w:r>
    </w:p>
    <w:p>
      <w:r>
        <w:rPr>
          <w:rFonts w:ascii="Calibri" w:hAnsi="Calibri"/>
          <w:color w:val="525866"/>
          <w:sz w:val="22"/>
        </w:rPr>
        <w:t xml:space="preserve">Performance decomposition: Over the 3-month window, PHM’s −2.4% return reflects </w:t>
      </w:r>
      <w:r>
        <w:rPr>
          <w:rFonts w:ascii="Calibri" w:hAnsi="Calibri"/>
          <w:b/>
          <w:color w:val="525866"/>
          <w:sz w:val="22"/>
        </w:rPr>
        <w:t>NTM EV/EBITDA multiple compression of ~2.0%</w:t>
      </w:r>
      <w:r>
        <w:rPr>
          <w:rFonts w:ascii="Calibri" w:hAnsi="Calibri"/>
          <w:color w:val="525866"/>
          <w:sz w:val="22"/>
        </w:rPr>
        <w:t xml:space="preserve"> (9.02x → 8.85x) with estimates essentially flat, confirming that sentiment/multiple rather than earnings revisions drove the underperformance. The 12-month picture is more constructive: PHM is up +14.4%, driven by a ~19% re-rating in EV/EBITDA (7.44x → 8.85x).</w:t>
      </w:r>
    </w:p>
    <w:p>
      <w:r>
        <w:rPr>
          <w:rFonts w:ascii="Calibri" w:hAnsi="Calibri"/>
          <w:i/>
          <w:color w:val="525866"/>
          <w:sz w:val="22"/>
        </w:rPr>
        <w:t>Source: Stock Price Data (Yahoo Finance); Stock Performance Decomposition Data.</w:t>
      </w:r>
    </w:p>
    <w:p>
      <w:r>
        <w:br w:type="page"/>
      </w:r>
    </w:p>
    <w:p>
      <w:pPr>
        <w:pStyle w:val="Heading2"/>
      </w:pPr>
      <w:r>
        <w:rPr>
          <w:rFonts w:ascii="Calibri" w:hAnsi="Calibri"/>
          <w:b/>
          <w:color w:val="3B4259"/>
          <w:sz w:val="28"/>
        </w:rPr>
        <w:t>6. Peer Commentary / Read-Throughs (Last 60 Days)</w:t>
      </w:r>
    </w:p>
    <w:p>
      <w:r>
        <w:rPr>
          <w:rFonts w:ascii="Calibri" w:hAnsi="Calibri"/>
          <w:b/>
          <w:color w:val="525866"/>
          <w:sz w:val="22"/>
        </w:rPr>
        <w:t xml:space="preserve">Key Takeaway: </w:t>
      </w:r>
      <w:r>
        <w:rPr>
          <w:rFonts w:ascii="Calibri" w:hAnsi="Calibri"/>
          <w:color w:val="525866"/>
          <w:sz w:val="22"/>
        </w:rPr>
        <w:t xml:space="preserve">The peer read-through picture is </w:t>
      </w:r>
      <w:r>
        <w:rPr>
          <w:rFonts w:ascii="Calibri" w:hAnsi="Calibri"/>
          <w:b/>
          <w:color w:val="525866"/>
          <w:sz w:val="22"/>
        </w:rPr>
        <w:t>mixed but tilting cautiously constructive for PHM</w:t>
      </w:r>
      <w:r>
        <w:rPr>
          <w:rFonts w:ascii="Calibri" w:hAnsi="Calibri"/>
          <w:color w:val="525866"/>
          <w:sz w:val="22"/>
        </w:rPr>
        <w:t>: Lennar’s Q2 print showed incentives declining for the first time in three years (a direct positive for PHM’s margin trajectory thesis), while D.R. Horton’s same-day Q3 report confirms closings resilience but flags elevated cancellations and persistent affordability headwinds. Champion Homes’ commentary on input cost inflation (lumber, steel, petroleum) is the most direct negative read-through for PHM’s near-term cost structure.</w:t>
      </w:r>
    </w:p>
    <w:p>
      <w:r>
        <w:rPr>
          <w:rFonts w:ascii="Calibri" w:hAnsi="Calibri"/>
          <w:i/>
          <w:color w:val="525866"/>
          <w:sz w:val="22"/>
        </w:rPr>
        <w:t>Note: Only commentary about the current reporting period (Q2 2026 / calendar Q2 2026) or forward-looking commentary made after the last earnings print is included below. Prior-quarter result commentary has been excluded.</w:t>
      </w:r>
    </w:p>
    <w:p>
      <w:pPr>
        <w:pStyle w:val="Heading3"/>
      </w:pPr>
      <w:r>
        <w:rPr>
          <w:rFonts w:ascii="Calibri" w:hAnsi="Calibri"/>
          <w:b/>
          <w:color w:val="3B4259"/>
          <w:sz w:val="24"/>
        </w:rPr>
        <w:t>Lennar (LEN) — Q2 2026 Earnings Call (June 12, 2026)</w:t>
      </w:r>
    </w:p>
    <w:p>
      <w:r>
        <w:rPr>
          <w:rFonts w:ascii="Calibri" w:hAnsi="Calibri"/>
          <w:b/>
          <w:color w:val="525866"/>
          <w:sz w:val="22"/>
        </w:rPr>
        <w:t xml:space="preserve">Relevance: </w:t>
      </w:r>
      <w:r>
        <w:rPr>
          <w:rFonts w:ascii="Calibri" w:hAnsi="Calibri"/>
          <w:color w:val="525866"/>
          <w:sz w:val="22"/>
        </w:rPr>
        <w:t>LEN’s Q2 2026 (quarter ended May 31, 2026) directly overlaps with PHM’s Q2 2026 (quarter ended June 30, 2026). This is the highest-quality read-through available.</w:t>
      </w:r>
    </w:p>
    <w:p>
      <w:pPr>
        <w:pStyle w:val="ListBullet"/>
        <w:ind w:left="360" w:hanging="360"/>
      </w:pPr>
      <w:r>
        <w:rPr>
          <w:rFonts w:ascii="Calibri" w:hAnsi="Calibri"/>
          <w:b/>
          <w:color w:val="525866"/>
          <w:sz w:val="22"/>
        </w:rPr>
        <w:t>Incentives declining for first time in three years — positive for PHM margin thesis.</w:t>
      </w:r>
      <w:r>
        <w:rPr>
          <w:rFonts w:ascii="Calibri" w:hAnsi="Calibri"/>
          <w:color w:val="525866"/>
          <w:sz w:val="22"/>
        </w:rPr>
        <w:t xml:space="preserve"> LEN’s sales incentive rate on deliveries fell to </w:t>
      </w:r>
      <w:r>
        <w:rPr>
          <w:rFonts w:ascii="Calibri" w:hAnsi="Calibri"/>
          <w:b/>
          <w:color w:val="525866"/>
          <w:sz w:val="22"/>
        </w:rPr>
        <w:t>12.9%</w:t>
      </w:r>
      <w:r>
        <w:rPr>
          <w:rFonts w:ascii="Calibri" w:hAnsi="Calibri"/>
          <w:color w:val="525866"/>
          <w:sz w:val="22"/>
        </w:rPr>
        <w:t xml:space="preserve"> in Q2 2026, down from 14.1% in Q1 and 14.5% in Q4 2025. CEO Stuart Miller stated: “After three years of incentive levels that have been generally increasing, we’re starting to see the first real and potentially sustainable decline” and “this is starting to look like a trend.” </w:t>
      </w:r>
      <w:r>
        <w:rPr>
          <w:rFonts w:ascii="Calibri" w:hAnsi="Calibri"/>
          <w:b/>
          <w:color w:val="525866"/>
          <w:sz w:val="22"/>
        </w:rPr>
        <w:t>Implication for PHM:</w:t>
      </w:r>
      <w:r>
        <w:rPr>
          <w:rFonts w:ascii="Calibri" w:hAnsi="Calibri"/>
          <w:color w:val="525866"/>
          <w:sz w:val="22"/>
        </w:rPr>
        <w:t xml:space="preserve"> PHM’s Q1 incentive load was 10.9% (lower than LEN’s given its higher-end buyer mix). If the industry-wide trend is toward declining incentives, PHM’s Q2 incentive load could be flat-to-down sequentially, which would be a positive surprise vs. the market’s assumption of continued elevation.</w:t>
      </w:r>
    </w:p>
    <w:p>
      <w:pPr>
        <w:pStyle w:val="ListBullet"/>
        <w:ind w:left="360" w:hanging="360"/>
      </w:pPr>
      <w:r>
        <w:rPr>
          <w:rFonts w:ascii="Calibri" w:hAnsi="Calibri"/>
          <w:b/>
          <w:color w:val="525866"/>
          <w:sz w:val="22"/>
        </w:rPr>
        <w:t>Demand: traffic inconsistent, intent high, urgency measured.</w:t>
      </w:r>
      <w:r>
        <w:rPr>
          <w:rFonts w:ascii="Calibri" w:hAnsi="Calibri"/>
          <w:color w:val="525866"/>
          <w:sz w:val="22"/>
        </w:rPr>
        <w:t xml:space="preserve"> LEN described the demand environment as: “Traffic is inconsistent, intent is high, but urgency to close is still measured and deliberate rather than confident and energized.” Mortgage rates remained “stubbornly elevated in the mid to upper 6% range” (30-year fixed at 6.4%–6.5%). </w:t>
      </w:r>
      <w:r>
        <w:rPr>
          <w:rFonts w:ascii="Calibri" w:hAnsi="Calibri"/>
          <w:b/>
          <w:color w:val="525866"/>
          <w:sz w:val="22"/>
        </w:rPr>
        <w:t>Implication for PHM:</w:t>
      </w:r>
      <w:r>
        <w:rPr>
          <w:rFonts w:ascii="Calibri" w:hAnsi="Calibri"/>
          <w:color w:val="525866"/>
          <w:sz w:val="22"/>
        </w:rPr>
        <w:t xml:space="preserve"> Consistent with PHM’s own Q1 commentary. Orders consensus of ~7,494 for Q2 appears achievable but not a layup.</w:t>
      </w:r>
    </w:p>
    <w:p>
      <w:pPr>
        <w:pStyle w:val="ListBullet"/>
        <w:ind w:left="360" w:hanging="360"/>
      </w:pPr>
      <w:r>
        <w:rPr>
          <w:rFonts w:ascii="Calibri" w:hAnsi="Calibri"/>
          <w:b/>
          <w:color w:val="525866"/>
          <w:sz w:val="22"/>
        </w:rPr>
        <w:t>Macro backdrop “more complicated and sometimes erratic.”</w:t>
      </w:r>
      <w:r>
        <w:rPr>
          <w:rFonts w:ascii="Calibri" w:hAnsi="Calibri"/>
          <w:color w:val="525866"/>
          <w:sz w:val="22"/>
        </w:rPr>
        <w:t xml:space="preserve"> LEN flagged May CPI at 4.2% YoY (highest since early 2023), the Fed “off the table as a near-term source of relief,” and consumer psychology affected by “job security anxieties.” Annual delivery guidance was trimmed to 82,000–83,000 homes (from prior range) citing “current pressures on interest rates and continued macro uncertainty.” </w:t>
      </w:r>
      <w:r>
        <w:rPr>
          <w:rFonts w:ascii="Calibri" w:hAnsi="Calibri"/>
          <w:b/>
          <w:color w:val="525866"/>
          <w:sz w:val="22"/>
        </w:rPr>
        <w:t>Implication for PHM:</w:t>
      </w:r>
      <w:r>
        <w:rPr>
          <w:rFonts w:ascii="Calibri" w:hAnsi="Calibri"/>
          <w:color w:val="525866"/>
          <w:sz w:val="22"/>
        </w:rPr>
        <w:t xml:space="preserve"> LEN’s guidance cut is a mild negative read-through for PHM’s full-year closings guide, though PHM’s buyer mix (more move-up and active adult) is less rate-sensitive than LEN’s entry-level focus.</w:t>
      </w:r>
    </w:p>
    <w:p>
      <w:pPr>
        <w:pStyle w:val="ListBullet"/>
        <w:ind w:left="360" w:hanging="360"/>
      </w:pPr>
      <w:r>
        <w:rPr>
          <w:rFonts w:ascii="Calibri" w:hAnsi="Calibri"/>
          <w:b/>
          <w:color w:val="525866"/>
          <w:sz w:val="22"/>
        </w:rPr>
        <w:t>Construction costs down 7% YoY; record cycle time of 121 days.</w:t>
      </w:r>
      <w:r>
        <w:rPr>
          <w:rFonts w:ascii="Calibri" w:hAnsi="Calibri"/>
          <w:color w:val="525866"/>
          <w:sz w:val="22"/>
        </w:rPr>
        <w:t xml:space="preserve"> LEN reported construction costs per square foot of $81, down 7% YoY, and achieved a record cycle time of 121 days. </w:t>
      </w:r>
      <w:r>
        <w:rPr>
          <w:rFonts w:ascii="Calibri" w:hAnsi="Calibri"/>
          <w:b/>
          <w:color w:val="525866"/>
          <w:sz w:val="22"/>
        </w:rPr>
        <w:t>Implication for PHM:</w:t>
      </w:r>
      <w:r>
        <w:rPr>
          <w:rFonts w:ascii="Calibri" w:hAnsi="Calibri"/>
          <w:color w:val="525866"/>
          <w:sz w:val="22"/>
        </w:rPr>
        <w:t xml:space="preserve"> PHM already reported sub-100-day cycle times in Q1 and house costs down 5% YoY to $75/sq ft. The industry-wide cost improvement trend is supportive of PHM’s flat-to-slightly-down house cost guide for the balance of 2026.</w:t>
      </w:r>
    </w:p>
    <w:p>
      <w:pPr>
        <w:pStyle w:val="ListBullet"/>
        <w:ind w:left="360" w:hanging="360"/>
      </w:pPr>
      <w:r>
        <w:rPr>
          <w:rFonts w:ascii="Calibri" w:hAnsi="Calibri"/>
          <w:b/>
          <w:color w:val="525866"/>
          <w:sz w:val="22"/>
        </w:rPr>
        <w:t>Gross margin improving sequentially; Q3 guided to ~16%.</w:t>
      </w:r>
      <w:r>
        <w:rPr>
          <w:rFonts w:ascii="Calibri" w:hAnsi="Calibri"/>
          <w:color w:val="525866"/>
          <w:sz w:val="22"/>
        </w:rPr>
        <w:t xml:space="preserve"> LEN’s Q2 gross margin improved sequentially to 15.6% and Q3 is guided to ~16%, with management expecting “sequential margin improvement quarter to quarter as the year progresses.” </w:t>
      </w:r>
      <w:r>
        <w:rPr>
          <w:rFonts w:ascii="Calibri" w:hAnsi="Calibri"/>
          <w:b/>
          <w:color w:val="525866"/>
          <w:sz w:val="22"/>
        </w:rPr>
        <w:t>Implication for PHM:</w:t>
      </w:r>
      <w:r>
        <w:rPr>
          <w:rFonts w:ascii="Calibri" w:hAnsi="Calibri"/>
          <w:color w:val="525866"/>
          <w:sz w:val="22"/>
        </w:rPr>
        <w:t xml:space="preserve"> Directionally consistent with PHM’s own back-half margin recovery thesis. LEN operates at structurally lower margins than PHM (LEN ~15–16% vs. PHM ~24–25%), but the sequential improvement trajectory is a positive read-through.</w:t>
      </w:r>
    </w:p>
    <w:p>
      <w:pPr>
        <w:pStyle w:val="ListBullet"/>
        <w:ind w:left="360" w:hanging="360"/>
      </w:pPr>
      <w:r>
        <w:rPr>
          <w:rFonts w:ascii="Calibri" w:hAnsi="Calibri"/>
          <w:b/>
          <w:color w:val="525866"/>
          <w:sz w:val="22"/>
        </w:rPr>
        <w:t>Federal housing legislation: “meaningful federal action is closer than the market believes.”</w:t>
      </w:r>
      <w:r>
        <w:rPr>
          <w:rFonts w:ascii="Calibri" w:hAnsi="Calibri"/>
          <w:color w:val="525866"/>
          <w:sz w:val="22"/>
        </w:rPr>
        <w:t xml:space="preserve"> LEN CEO expressed confidence that government action on housing affordability is approaching, calling it a potential “significant tailwind for the industry.” </w:t>
      </w:r>
      <w:r>
        <w:rPr>
          <w:rFonts w:ascii="Calibri" w:hAnsi="Calibri"/>
          <w:b/>
          <w:color w:val="525866"/>
          <w:sz w:val="22"/>
        </w:rPr>
        <w:t>Implication for PHM:</w:t>
      </w:r>
      <w:r>
        <w:rPr>
          <w:rFonts w:ascii="Calibri" w:hAnsi="Calibri"/>
          <w:color w:val="525866"/>
          <w:sz w:val="22"/>
        </w:rPr>
        <w:t xml:space="preserve"> The 21st Century Road to Housing Act was subsequently signed into law (July 11, 2026), a long-term positive for housing supply and demand.</w:t>
      </w:r>
    </w:p>
    <w:p>
      <w:pPr>
        <w:pStyle w:val="Heading3"/>
      </w:pPr>
      <w:r>
        <w:rPr>
          <w:rFonts w:ascii="Calibri" w:hAnsi="Calibri"/>
          <w:b/>
          <w:color w:val="3B4259"/>
          <w:sz w:val="24"/>
        </w:rPr>
        <w:t>D.R. Horton (DHI) — Q3 FY2026 Earnings Release &amp; Call (July 21, 2026)</w:t>
      </w:r>
    </w:p>
    <w:p>
      <w:r>
        <w:rPr>
          <w:rFonts w:ascii="Calibri" w:hAnsi="Calibri"/>
          <w:b/>
          <w:color w:val="525866"/>
          <w:sz w:val="22"/>
        </w:rPr>
        <w:t xml:space="preserve">Relevance: </w:t>
      </w:r>
      <w:r>
        <w:rPr>
          <w:rFonts w:ascii="Calibri" w:hAnsi="Calibri"/>
          <w:color w:val="525866"/>
          <w:sz w:val="22"/>
        </w:rPr>
        <w:t>DHI’s fiscal Q3 2026 ended June 30, 2026 — the same calendar quarter as PHM’s Q2 2026. This is the most timely and directly comparable read-through, reported the day before PHM’s earnings.</w:t>
      </w:r>
    </w:p>
    <w:p>
      <w:pPr>
        <w:pStyle w:val="ListBullet"/>
        <w:ind w:left="360" w:hanging="360"/>
      </w:pPr>
      <w:r>
        <w:rPr>
          <w:rFonts w:ascii="Calibri" w:hAnsi="Calibri"/>
          <w:b/>
          <w:color w:val="525866"/>
          <w:sz w:val="22"/>
        </w:rPr>
        <w:t>Closings at high end of guidance — positive volume read-through.</w:t>
      </w:r>
      <w:r>
        <w:rPr>
          <w:rFonts w:ascii="Calibri" w:hAnsi="Calibri"/>
          <w:color w:val="525866"/>
          <w:sz w:val="22"/>
        </w:rPr>
        <w:t xml:space="preserve"> DHI closed 23,983 homes in the quarter, at the high end of its guidance range. Average closing price was flat sequentially and down 2% YoY to $362,000. </w:t>
      </w:r>
      <w:r>
        <w:rPr>
          <w:rFonts w:ascii="Calibri" w:hAnsi="Calibri"/>
          <w:b/>
          <w:color w:val="525866"/>
          <w:sz w:val="22"/>
        </w:rPr>
        <w:t>Implication for PHM:</w:t>
      </w:r>
      <w:r>
        <w:rPr>
          <w:rFonts w:ascii="Calibri" w:hAnsi="Calibri"/>
          <w:color w:val="525866"/>
          <w:sz w:val="22"/>
        </w:rPr>
        <w:t xml:space="preserve"> Suggests the demand environment was sufficient to execute on volume targets. PHM’s consensus of ~6,994 closings (vs. guidance of 6,700–7,100) appears achievable.</w:t>
      </w:r>
    </w:p>
    <w:p>
      <w:pPr>
        <w:pStyle w:val="ListBullet"/>
        <w:ind w:left="360" w:hanging="360"/>
      </w:pPr>
      <w:r>
        <w:rPr>
          <w:rFonts w:ascii="Calibri" w:hAnsi="Calibri"/>
          <w:b/>
          <w:color w:val="525866"/>
          <w:sz w:val="22"/>
        </w:rPr>
        <w:t>Gross margin above guidance at 20.7% — driven by lower stick-and-brick costs and slightly lower incentives.</w:t>
      </w:r>
      <w:r>
        <w:rPr>
          <w:rFonts w:ascii="Calibri" w:hAnsi="Calibri"/>
          <w:color w:val="525866"/>
          <w:sz w:val="22"/>
        </w:rPr>
        <w:t xml:space="preserve"> DHI’s Q3 home sales gross margin of 20.7% exceeded the high end of its guidance range, reflecting “lower stick and brick costs and slightly lower incentives than the second quarter.” Stick-and-brick costs were down 2% YoY. </w:t>
      </w:r>
      <w:r>
        <w:rPr>
          <w:rFonts w:ascii="Calibri" w:hAnsi="Calibri"/>
          <w:b/>
          <w:color w:val="525866"/>
          <w:sz w:val="22"/>
        </w:rPr>
        <w:t>Implication for PHM:</w:t>
      </w:r>
      <w:r>
        <w:rPr>
          <w:rFonts w:ascii="Calibri" w:hAnsi="Calibri"/>
          <w:color w:val="525866"/>
          <w:sz w:val="22"/>
        </w:rPr>
        <w:t xml:space="preserve"> A direct positive read-through for PHM’s Q2 gross margin. If DHI achieved better-than-guided margins through cost control and modest incentive improvement, PHM could similarly surprise at the high end of its 24.1%–24.4% Q2 gross margin guide.</w:t>
      </w:r>
    </w:p>
    <w:p>
      <w:pPr>
        <w:pStyle w:val="ListBullet"/>
        <w:ind w:left="360" w:hanging="360"/>
      </w:pPr>
      <w:r>
        <w:rPr>
          <w:rFonts w:ascii="Calibri" w:hAnsi="Calibri"/>
          <w:b/>
          <w:color w:val="525866"/>
          <w:sz w:val="22"/>
        </w:rPr>
        <w:t>Cancellation rate rose to 20% (from 17% prior year, 16% sequentially) — mild negative.</w:t>
      </w:r>
      <w:r>
        <w:rPr>
          <w:rFonts w:ascii="Calibri" w:hAnsi="Calibri"/>
          <w:color w:val="525866"/>
          <w:sz w:val="22"/>
        </w:rPr>
        <w:t xml:space="preserve"> DHI’s cancellation rate increased, driven primarily by buyer qualification issues. Management noted “a general lack of confidence” among buyers. </w:t>
      </w:r>
      <w:r>
        <w:rPr>
          <w:rFonts w:ascii="Calibri" w:hAnsi="Calibri"/>
          <w:b/>
          <w:color w:val="525866"/>
          <w:sz w:val="22"/>
        </w:rPr>
        <w:t>Implication for PHM:</w:t>
      </w:r>
      <w:r>
        <w:rPr>
          <w:rFonts w:ascii="Calibri" w:hAnsi="Calibri"/>
          <w:color w:val="525866"/>
          <w:sz w:val="22"/>
        </w:rPr>
        <w:t xml:space="preserve"> PHM’s higher-end buyer mix (move-up and active adult) is less susceptible to qualification-driven cancellations, but the trend is worth monitoring, particularly for first-time buyer communities.</w:t>
      </w:r>
    </w:p>
    <w:p>
      <w:pPr>
        <w:pStyle w:val="ListBullet"/>
        <w:ind w:left="360" w:hanging="360"/>
      </w:pPr>
      <w:r>
        <w:rPr>
          <w:rFonts w:ascii="Calibri" w:hAnsi="Calibri"/>
          <w:b/>
          <w:color w:val="525866"/>
          <w:sz w:val="22"/>
        </w:rPr>
        <w:t>Incentives expected to remain elevated in Q4; lot costs up 5% YoY.</w:t>
      </w:r>
      <w:r>
        <w:rPr>
          <w:rFonts w:ascii="Calibri" w:hAnsi="Calibri"/>
          <w:color w:val="525866"/>
          <w:sz w:val="22"/>
        </w:rPr>
        <w:t xml:space="preserve"> DHI guided Q4 incentives to remain elevated relative to historical levels and flagged similar lot cost appreciation ahead. Potential lumber headwind into 2027 was noted. </w:t>
      </w:r>
      <w:r>
        <w:rPr>
          <w:rFonts w:ascii="Calibri" w:hAnsi="Calibri"/>
          <w:b/>
          <w:color w:val="525866"/>
          <w:sz w:val="22"/>
        </w:rPr>
        <w:t>Implication for PHM:</w:t>
      </w:r>
      <w:r>
        <w:rPr>
          <w:rFonts w:ascii="Calibri" w:hAnsi="Calibri"/>
          <w:color w:val="525866"/>
          <w:sz w:val="22"/>
        </w:rPr>
        <w:t xml:space="preserve"> Consistent with PHM’s own guidance. Lot cost inflation (+5% YoY at DHI) is a watch item for PHM’s 2027 margin outlook, though the benefit of easing land prices won’t flow through P&amp;L until late 2027.</w:t>
      </w:r>
    </w:p>
    <w:p>
      <w:pPr>
        <w:pStyle w:val="ListBullet"/>
        <w:ind w:left="360" w:hanging="360"/>
      </w:pPr>
      <w:r>
        <w:rPr>
          <w:rFonts w:ascii="Calibri" w:hAnsi="Calibri"/>
          <w:b/>
          <w:color w:val="525866"/>
          <w:sz w:val="22"/>
        </w:rPr>
        <w:t>Affordability constraints and cautious consumer sentiment continue to impact demand.</w:t>
      </w:r>
      <w:r>
        <w:rPr>
          <w:rFonts w:ascii="Calibri" w:hAnsi="Calibri"/>
          <w:color w:val="525866"/>
          <w:sz w:val="22"/>
        </w:rPr>
        <w:t xml:space="preserve"> DHI Executive Chairman David Auld stated: “Affordability constraints and cautious consumer sentiment continue to impact new home demand.” Regional strength in Mid-Atlantic/Midwest; weakness in Northwest (Seattle tech layoffs). Florida and Southeast “performing pretty consistently.” </w:t>
      </w:r>
      <w:r>
        <w:rPr>
          <w:rFonts w:ascii="Calibri" w:hAnsi="Calibri"/>
          <w:b/>
          <w:color w:val="525866"/>
          <w:sz w:val="22"/>
        </w:rPr>
        <w:t>Implication for PHM:</w:t>
      </w:r>
      <w:r>
        <w:rPr>
          <w:rFonts w:ascii="Calibri" w:hAnsi="Calibri"/>
          <w:color w:val="525866"/>
          <w:sz w:val="22"/>
        </w:rPr>
        <w:t xml:space="preserve"> PHM’s geographic mix (strong Florida, Northeast, Southeast exposure) aligns with DHI’s stronger-performing regions. Texas and West weakness is a shared headwind.</w:t>
      </w:r>
    </w:p>
    <w:p>
      <w:pPr>
        <w:pStyle w:val="ListBullet"/>
        <w:ind w:left="360" w:hanging="360"/>
      </w:pPr>
      <w:r>
        <w:rPr>
          <w:rFonts w:ascii="Calibri" w:hAnsi="Calibri"/>
          <w:b/>
          <w:color w:val="525866"/>
          <w:sz w:val="22"/>
        </w:rPr>
        <w:t>Industry inventory discipline: “relatively disciplined.”</w:t>
      </w:r>
      <w:r>
        <w:rPr>
          <w:rFonts w:ascii="Calibri" w:hAnsi="Calibri"/>
          <w:color w:val="525866"/>
          <w:sz w:val="22"/>
        </w:rPr>
        <w:t xml:space="preserve"> DHI believes the industry has been “relatively disciplined” in managing inventories toward demand. DHI ended Q3 with 38,000 homes in inventory, down 1% sequentially and YoY, with only 600 completed homes unsold for more than six months. </w:t>
      </w:r>
      <w:r>
        <w:rPr>
          <w:rFonts w:ascii="Calibri" w:hAnsi="Calibri"/>
          <w:b/>
          <w:color w:val="525866"/>
          <w:sz w:val="22"/>
        </w:rPr>
        <w:t>Implication for PHM:</w:t>
      </w:r>
      <w:r>
        <w:rPr>
          <w:rFonts w:ascii="Calibri" w:hAnsi="Calibri"/>
          <w:color w:val="525866"/>
          <w:sz w:val="22"/>
        </w:rPr>
        <w:t xml:space="preserve"> Supports PHM’s own spec normalization narrative. Industry-wide discipline reduces the risk of a price war that could force PHM to increase incentives.</w:t>
      </w:r>
    </w:p>
    <w:p>
      <w:pPr>
        <w:pStyle w:val="Heading3"/>
      </w:pPr>
      <w:r>
        <w:rPr>
          <w:rFonts w:ascii="Calibri" w:hAnsi="Calibri"/>
          <w:b/>
          <w:color w:val="3B4259"/>
          <w:sz w:val="24"/>
        </w:rPr>
        <w:t>Champion Homes (SKY) — Q4 FY2026 Earnings Call (May 26, 2026) — Q1 FY2027 Outlook</w:t>
      </w:r>
    </w:p>
    <w:p>
      <w:r>
        <w:rPr>
          <w:rFonts w:ascii="Calibri" w:hAnsi="Calibri"/>
          <w:b/>
          <w:color w:val="525866"/>
          <w:sz w:val="22"/>
        </w:rPr>
        <w:t xml:space="preserve">Relevance: </w:t>
      </w:r>
      <w:r>
        <w:rPr>
          <w:rFonts w:ascii="Calibri" w:hAnsi="Calibri"/>
          <w:color w:val="525866"/>
          <w:sz w:val="22"/>
        </w:rPr>
        <w:t>SKY’s Q1 FY2027 outlook (calendar April–June 2026) covers the same period as PHM’s Q2 2026. SKY is a manufactured/modular housing company — a different product but a useful read on entry-level consumer health and input cost trends.</w:t>
      </w:r>
    </w:p>
    <w:p>
      <w:pPr>
        <w:pStyle w:val="ListBullet"/>
        <w:ind w:left="360" w:hanging="360"/>
      </w:pPr>
      <w:r>
        <w:rPr>
          <w:rFonts w:ascii="Calibri" w:hAnsi="Calibri"/>
          <w:b/>
          <w:color w:val="525866"/>
          <w:sz w:val="22"/>
        </w:rPr>
        <w:t>Input cost inflation accelerating — direct negative read-through for PHM.</w:t>
      </w:r>
      <w:r>
        <w:rPr>
          <w:rFonts w:ascii="Calibri" w:hAnsi="Calibri"/>
          <w:color w:val="525866"/>
          <w:sz w:val="22"/>
        </w:rPr>
        <w:t xml:space="preserve"> SKY flagged inflation across forest products (lumber, OSB), steel, and petroleum products, with pressures “accelerating throughout Q4 and now into Q1.” Management noted these initiatives “lag input cost inflation.” Near-term adjusted gross margin guided to 24.5%–25.5%, below Q4’s 25.7%. </w:t>
      </w:r>
      <w:r>
        <w:rPr>
          <w:rFonts w:ascii="Calibri" w:hAnsi="Calibri"/>
          <w:b/>
          <w:color w:val="525866"/>
          <w:sz w:val="22"/>
        </w:rPr>
        <w:t>Implication for PHM:</w:t>
      </w:r>
      <w:r>
        <w:rPr>
          <w:rFonts w:ascii="Calibri" w:hAnsi="Calibri"/>
          <w:color w:val="525866"/>
          <w:sz w:val="22"/>
        </w:rPr>
        <w:t xml:space="preserve"> Corroborates PHM’s own Q1 call commentary that lumber costs “inflected higher in recent weeks” with impacts expected “two quarters out.” This is the most direct negative read-through for PHM’s Q3/Q4 2026 cost structure.</w:t>
      </w:r>
    </w:p>
    <w:p>
      <w:pPr>
        <w:pStyle w:val="ListBullet"/>
        <w:ind w:left="360" w:hanging="360"/>
      </w:pPr>
      <w:r>
        <w:rPr>
          <w:rFonts w:ascii="Calibri" w:hAnsi="Calibri"/>
          <w:b/>
          <w:color w:val="525866"/>
          <w:sz w:val="22"/>
        </w:rPr>
        <w:t>Entry-level consumer under pressure; price-conscious buyers seeking lower monthly payments.</w:t>
      </w:r>
      <w:r>
        <w:rPr>
          <w:rFonts w:ascii="Calibri" w:hAnsi="Calibri"/>
          <w:color w:val="525866"/>
          <w:sz w:val="22"/>
        </w:rPr>
        <w:t xml:space="preserve"> SKY noted the “entry-level consumer maybe on a bit more pressure” and described a product mix shift toward lower-priced options as consumers manage monthly payment affordability. </w:t>
      </w:r>
      <w:r>
        <w:rPr>
          <w:rFonts w:ascii="Calibri" w:hAnsi="Calibri"/>
          <w:b/>
          <w:color w:val="525866"/>
          <w:sz w:val="22"/>
        </w:rPr>
        <w:t>Implication for PHM:</w:t>
      </w:r>
      <w:r>
        <w:rPr>
          <w:rFonts w:ascii="Calibri" w:hAnsi="Calibri"/>
          <w:color w:val="525866"/>
          <w:sz w:val="22"/>
        </w:rPr>
        <w:t xml:space="preserve"> PHM’s first-time buyer segment faces similar dynamics. However, PHM’s strategic shift toward move-up and active adult (which carry lower incentive loads) partially insulates it from this pressure.</w:t>
      </w:r>
    </w:p>
    <w:p>
      <w:pPr>
        <w:pStyle w:val="ListBullet"/>
        <w:ind w:left="360" w:hanging="360"/>
      </w:pPr>
      <w:r>
        <w:rPr>
          <w:rFonts w:ascii="Calibri" w:hAnsi="Calibri"/>
          <w:b/>
          <w:color w:val="525866"/>
          <w:sz w:val="22"/>
        </w:rPr>
        <w:t>Spring selling season order activity “pleasing” despite macro uncertainty.</w:t>
      </w:r>
      <w:r>
        <w:rPr>
          <w:rFonts w:ascii="Calibri" w:hAnsi="Calibri"/>
          <w:color w:val="525866"/>
          <w:sz w:val="22"/>
        </w:rPr>
        <w:t xml:space="preserve"> CEO Tim Larson noted “pleased with the order activity we’ve seen so far” and “encouraged as we look at the orders so far within the quarter.” Community channel showing “some uptick.” </w:t>
      </w:r>
      <w:r>
        <w:rPr>
          <w:rFonts w:ascii="Calibri" w:hAnsi="Calibri"/>
          <w:b/>
          <w:color w:val="525866"/>
          <w:sz w:val="22"/>
        </w:rPr>
        <w:t>Implication for PHM:</w:t>
      </w:r>
      <w:r>
        <w:rPr>
          <w:rFonts w:ascii="Calibri" w:hAnsi="Calibri"/>
          <w:color w:val="525866"/>
          <w:sz w:val="22"/>
        </w:rPr>
        <w:t xml:space="preserve"> Mild positive for PHM’s Q2 orders. The spring selling season appears to have held up better than feared across the industry.</w:t>
      </w:r>
    </w:p>
    <w:p>
      <w:pPr>
        <w:pStyle w:val="ListBullet"/>
        <w:ind w:left="360" w:hanging="360"/>
      </w:pPr>
      <w:r>
        <w:rPr>
          <w:rFonts w:ascii="Calibri" w:hAnsi="Calibri"/>
          <w:b/>
          <w:color w:val="525866"/>
          <w:sz w:val="22"/>
        </w:rPr>
        <w:t>Revenue expected approximately flat YoY for Q1 FY2027.</w:t>
      </w:r>
      <w:r>
        <w:rPr>
          <w:rFonts w:ascii="Calibri" w:hAnsi="Calibri"/>
          <w:color w:val="525866"/>
          <w:sz w:val="22"/>
        </w:rPr>
        <w:t xml:space="preserve"> SKY guided Q1 FY2027 revenue to be “approximately flat versus the prior year,” citing a challenging consumer environment and lapping of prior price increases. </w:t>
      </w:r>
      <w:r>
        <w:rPr>
          <w:rFonts w:ascii="Calibri" w:hAnsi="Calibri"/>
          <w:b/>
          <w:color w:val="525866"/>
          <w:sz w:val="22"/>
        </w:rPr>
        <w:t>Implication for PHM:</w:t>
      </w:r>
      <w:r>
        <w:rPr>
          <w:rFonts w:ascii="Calibri" w:hAnsi="Calibri"/>
          <w:color w:val="525866"/>
          <w:sz w:val="22"/>
        </w:rPr>
        <w:t xml:space="preserve"> Neutral. PHM’s revenue is expected to decline ~10% YoY in Q2 2026 due to lower closings and ASP, consistent with the broader industry trend of volume normalization.</w:t>
      </w:r>
    </w:p>
    <w:p>
      <w:pPr>
        <w:pStyle w:val="Heading3"/>
      </w:pPr>
      <w:r>
        <w:rPr>
          <w:rFonts w:ascii="Calibri" w:hAnsi="Calibri"/>
          <w:b/>
          <w:color w:val="3B4259"/>
          <w:sz w:val="24"/>
        </w:rPr>
        <w:t>BTIG Analyst Commentary (July 21, 2026)</w:t>
      </w:r>
    </w:p>
    <w:p>
      <w:r>
        <w:rPr>
          <w:rFonts w:ascii="Calibri" w:hAnsi="Calibri"/>
          <w:color w:val="525866"/>
          <w:sz w:val="22"/>
        </w:rPr>
        <w:t>Ryan Gilbert, analyst at BTIG, wrote ahead of PHM’s earnings: “</w:t>
      </w:r>
      <w:r>
        <w:rPr>
          <w:rFonts w:ascii="Calibri" w:hAnsi="Calibri"/>
          <w:b/>
          <w:i/>
          <w:color w:val="525866"/>
          <w:sz w:val="22"/>
        </w:rPr>
        <w:t>PHM has executed its operating and capital strategy well in a challenging market, effectively managing the pace vs. price dynamic to keep inventory turning without overly diluting margin.</w:t>
      </w:r>
      <w:r>
        <w:rPr>
          <w:rFonts w:ascii="Calibri" w:hAnsi="Calibri"/>
          <w:color w:val="525866"/>
          <w:sz w:val="22"/>
        </w:rPr>
        <w:t>” This characterization aligns with the spec normalization milestone achieved in Q1 (finished specs reduced to 1.4 per community, within the 1.0–1.5 target range) and supports the view that PHM is better positioned than peers heading into the back half of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passage of the </w:t>
      </w:r>
      <w:r>
        <w:rPr>
          <w:rFonts w:ascii="Calibri" w:hAnsi="Calibri"/>
          <w:b/>
          <w:color w:val="525866"/>
          <w:sz w:val="22"/>
        </w:rPr>
        <w:t>21st Century Road to Housing Act</w:t>
      </w:r>
      <w:r>
        <w:rPr>
          <w:rFonts w:ascii="Calibri" w:hAnsi="Calibri"/>
          <w:color w:val="525866"/>
          <w:sz w:val="22"/>
        </w:rPr>
        <w:t xml:space="preserve"> (signed July 11, 2026) — a long-term structural positive for housing supply that validates PHM’s community count growth strategy. Near-term, the </w:t>
      </w:r>
      <w:r>
        <w:rPr>
          <w:rFonts w:ascii="Calibri" w:hAnsi="Calibri"/>
          <w:b/>
          <w:color w:val="525866"/>
          <w:sz w:val="22"/>
        </w:rPr>
        <w:t>renewed Middle East conflict and associated rate/inflation concerns</w:t>
      </w:r>
      <w:r>
        <w:rPr>
          <w:rFonts w:ascii="Calibri" w:hAnsi="Calibri"/>
          <w:color w:val="525866"/>
          <w:sz w:val="22"/>
        </w:rPr>
        <w:t xml:space="preserve"> are the primary macro headwinds heading into the print.</w:t>
      </w:r>
    </w:p>
    <w:p>
      <w:pPr>
        <w:pStyle w:val="ListBullet"/>
        <w:ind w:left="360" w:hanging="360"/>
      </w:pPr>
      <w:r>
        <w:rPr>
          <w:rFonts w:ascii="Calibri" w:hAnsi="Calibri"/>
          <w:b/>
          <w:color w:val="525866"/>
          <w:sz w:val="22"/>
        </w:rPr>
        <w:t>July 11, 2026 — 21st Century Road to Housing Act signed into law.</w:t>
      </w:r>
      <w:r>
        <w:rPr>
          <w:rFonts w:ascii="Calibri" w:hAnsi="Calibri"/>
          <w:color w:val="525866"/>
          <w:sz w:val="22"/>
        </w:rPr>
        <w:t xml:space="preserve"> The largest housing bill in decades became law, focusing on three major reforms: (1) increasing housing supply through faster permitting and zoning reform incentives; (2) expanding mortgage financing access for lower-cost homes; and (3) restricting large institutional investors (350+ single-family homes) from purchasing additional single-family homes. </w:t>
      </w:r>
      <w:r>
        <w:rPr>
          <w:rFonts w:ascii="Calibri" w:hAnsi="Calibri"/>
          <w:b/>
          <w:color w:val="525866"/>
          <w:sz w:val="22"/>
        </w:rPr>
        <w:t>Implication:</w:t>
      </w:r>
      <w:r>
        <w:rPr>
          <w:rFonts w:ascii="Calibri" w:hAnsi="Calibri"/>
          <w:color w:val="525866"/>
          <w:sz w:val="22"/>
        </w:rPr>
        <w:t xml:space="preserve"> Long-term positive for homebuilders including PHM — supply-side deregulation supports community count growth and reduces competitive pressure from institutional buyers. The institutional investor restriction could modestly reduce demand in some markets near-term but is broadly positive for the for-sale market.</w:t>
      </w:r>
    </w:p>
    <w:p>
      <w:pPr>
        <w:pStyle w:val="ListBullet"/>
        <w:ind w:left="360" w:hanging="360"/>
      </w:pPr>
      <w:r>
        <w:rPr>
          <w:rFonts w:ascii="Calibri" w:hAnsi="Calibri"/>
          <w:b/>
          <w:color w:val="525866"/>
          <w:sz w:val="22"/>
        </w:rPr>
        <w:t>July 8–12, 2026 — Renewed Middle East conflict; oil prices and inflation expectations spike.</w:t>
      </w:r>
      <w:r>
        <w:rPr>
          <w:rFonts w:ascii="Calibri" w:hAnsi="Calibri"/>
          <w:color w:val="525866"/>
          <w:sz w:val="22"/>
        </w:rPr>
        <w:t xml:space="preserve"> Renewed fighting in the Middle East drove oil prices up ~3.3% (Brent to ~$78.49/bbl) and pushed Fed funds futures to price a 52% probability of two or more rate hikes by December 2026. The dollar strengthened. PHM fell ~$7 (to ~$123) on July 8 on these concerns. </w:t>
      </w:r>
      <w:r>
        <w:rPr>
          <w:rFonts w:ascii="Calibri" w:hAnsi="Calibri"/>
          <w:b/>
          <w:color w:val="525866"/>
          <w:sz w:val="22"/>
        </w:rPr>
        <w:t>Implication:</w:t>
      </w:r>
      <w:r>
        <w:rPr>
          <w:rFonts w:ascii="Calibri" w:hAnsi="Calibri"/>
          <w:color w:val="525866"/>
          <w:sz w:val="22"/>
        </w:rPr>
        <w:t xml:space="preserve"> Elevated rates and inflation expectations are the primary macro headwind for homebuilder demand. PHM management flagged at Q1 earnings that demand “could certainly improve if global tensions eased and interest rates came back towards 6%” — the opposite scenario is now playing out.</w:t>
      </w:r>
    </w:p>
    <w:p>
      <w:pPr>
        <w:pStyle w:val="ListBullet"/>
        <w:ind w:left="360" w:hanging="360"/>
      </w:pPr>
      <w:r>
        <w:rPr>
          <w:rFonts w:ascii="Calibri" w:hAnsi="Calibri"/>
          <w:b/>
          <w:color w:val="525866"/>
          <w:sz w:val="22"/>
        </w:rPr>
        <w:t>July 15, 2026 — June CPI softer than expected; stocks and bonds rally.</w:t>
      </w:r>
      <w:r>
        <w:rPr>
          <w:rFonts w:ascii="Calibri" w:hAnsi="Calibri"/>
          <w:color w:val="525866"/>
          <w:sz w:val="22"/>
        </w:rPr>
        <w:t xml:space="preserve"> Consumer prices fell 0.4% in June (largest monthly decline since COVID onset), with core CPI unchanged for the month. Stocks rallied (S&amp;P +29 points) and the 10-year yield stood at 4.55%. </w:t>
      </w:r>
      <w:r>
        <w:rPr>
          <w:rFonts w:ascii="Calibri" w:hAnsi="Calibri"/>
          <w:b/>
          <w:color w:val="525866"/>
          <w:sz w:val="22"/>
        </w:rPr>
        <w:t>Implication:</w:t>
      </w:r>
      <w:r>
        <w:rPr>
          <w:rFonts w:ascii="Calibri" w:hAnsi="Calibri"/>
          <w:color w:val="525866"/>
          <w:sz w:val="22"/>
        </w:rPr>
        <w:t xml:space="preserve"> Partially offsets the rate/inflation concerns from the Middle East flare-up. A softer inflation trajectory would be positive for mortgage rates and PHM demand.</w:t>
      </w:r>
    </w:p>
    <w:p>
      <w:pPr>
        <w:pStyle w:val="ListBullet"/>
        <w:ind w:left="360" w:hanging="360"/>
      </w:pPr>
      <w:r>
        <w:rPr>
          <w:rFonts w:ascii="Calibri" w:hAnsi="Calibri"/>
          <w:b/>
          <w:color w:val="525866"/>
          <w:sz w:val="22"/>
        </w:rPr>
        <w:t>June 24, 2026 — PHM surges ~7% on Berkshire Hathaway homebuilder deal news.</w:t>
      </w:r>
      <w:r>
        <w:rPr>
          <w:rFonts w:ascii="Calibri" w:hAnsi="Calibri"/>
          <w:color w:val="525866"/>
          <w:sz w:val="22"/>
        </w:rPr>
        <w:t xml:space="preserve"> PHM shares surged to ~$135–$138 (period high) alongside smaller homebuilders following news of a Berkshire Hathaway deal in the sector, which drove a broad re-rating of homebuilder stocks. PHM has outperformed smaller homebuilders year-to-date (+4.76% YTD per news reports), though it lagged the Berkshire-driven surge in smaller names. </w:t>
      </w:r>
      <w:r>
        <w:rPr>
          <w:rFonts w:ascii="Calibri" w:hAnsi="Calibri"/>
          <w:b/>
          <w:color w:val="525866"/>
          <w:sz w:val="22"/>
        </w:rPr>
        <w:t>Implication:</w:t>
      </w:r>
      <w:r>
        <w:rPr>
          <w:rFonts w:ascii="Calibri" w:hAnsi="Calibri"/>
          <w:color w:val="525866"/>
          <w:sz w:val="22"/>
        </w:rPr>
        <w:t xml:space="preserve"> Sentiment-driven move; does not change PHM’s fundamental outlook but demonstrates the stock’s sensitivity to positive sector catalysts.</w:t>
      </w:r>
    </w:p>
    <w:p>
      <w:pPr>
        <w:pStyle w:val="ListBullet"/>
        <w:ind w:left="360" w:hanging="360"/>
      </w:pPr>
      <w:r>
        <w:rPr>
          <w:rFonts w:ascii="Calibri" w:hAnsi="Calibri"/>
          <w:b/>
          <w:color w:val="525866"/>
          <w:sz w:val="22"/>
        </w:rPr>
        <w:t>June 12, 2026 — Lennar Q2 2026 earnings: incentives declining, margins improving.</w:t>
      </w:r>
      <w:r>
        <w:rPr>
          <w:rFonts w:ascii="Calibri" w:hAnsi="Calibri"/>
          <w:color w:val="525866"/>
          <w:sz w:val="22"/>
        </w:rPr>
        <w:t xml:space="preserve"> LEN reported Q2 results showing incentives declining for the first time in three years (to 12.9% from 14.1% in Q1). PHM rallied ~5.5% on June 11 (the day of LEN’s earnings release) on the positive read-through. </w:t>
      </w:r>
      <w:r>
        <w:rPr>
          <w:rFonts w:ascii="Calibri" w:hAnsi="Calibri"/>
          <w:b/>
          <w:color w:val="525866"/>
          <w:sz w:val="22"/>
        </w:rPr>
        <w:t>Implication:</w:t>
      </w:r>
      <w:r>
        <w:rPr>
          <w:rFonts w:ascii="Calibri" w:hAnsi="Calibri"/>
          <w:color w:val="525866"/>
          <w:sz w:val="22"/>
        </w:rPr>
        <w:t xml:space="preserve"> Directly supports PHM’s thesis that incentive loads will decline as the mix shifts toward build-to-order and move-up/active adult buyers.</w:t>
      </w:r>
    </w:p>
    <w:p>
      <w:pPr>
        <w:pStyle w:val="ListBullet"/>
        <w:ind w:left="360" w:hanging="360"/>
      </w:pPr>
      <w:r>
        <w:rPr>
          <w:rFonts w:ascii="Calibri" w:hAnsi="Calibri"/>
          <w:b/>
          <w:color w:val="525866"/>
          <w:sz w:val="22"/>
        </w:rPr>
        <w:t>May 26, 2026 — Champion Homes (SKY) Q4 FY2026 earnings: input cost inflation accelerating.</w:t>
      </w:r>
      <w:r>
        <w:rPr>
          <w:rFonts w:ascii="Calibri" w:hAnsi="Calibri"/>
          <w:color w:val="525866"/>
          <w:sz w:val="22"/>
        </w:rPr>
        <w:t xml:space="preserve"> SKY flagged accelerating inflation in lumber, OSB, steel, and petroleum products heading into its fiscal Q1 2027 (calendar Q2 2026). Near-term gross margin guided to 24.5%–25.5%, below prior quarter. </w:t>
      </w:r>
      <w:r>
        <w:rPr>
          <w:rFonts w:ascii="Calibri" w:hAnsi="Calibri"/>
          <w:b/>
          <w:color w:val="525866"/>
          <w:sz w:val="22"/>
        </w:rPr>
        <w:t>Implication:</w:t>
      </w:r>
      <w:r>
        <w:rPr>
          <w:rFonts w:ascii="Calibri" w:hAnsi="Calibri"/>
          <w:color w:val="525866"/>
          <w:sz w:val="22"/>
        </w:rPr>
        <w:t xml:space="preserve"> Corroborates PHM’s own Q1 warning that lumber costs “inflected higher” with impacts expected two quarters out (i.e., Q3 2026 closings). This is a watch item for PHM’s H2 2026 margin guide.</w:t>
      </w:r>
    </w:p>
    <w:p>
      <w:pPr>
        <w:pStyle w:val="ListBullet"/>
        <w:ind w:left="360" w:hanging="360"/>
      </w:pPr>
      <w:r>
        <w:rPr>
          <w:rFonts w:ascii="Calibri" w:hAnsi="Calibri"/>
          <w:b/>
          <w:color w:val="525866"/>
          <w:sz w:val="22"/>
        </w:rPr>
        <w:t>July 8, 2026 — Lennar quality dispute with Seminole Tribe of Florida.</w:t>
      </w:r>
      <w:r>
        <w:rPr>
          <w:rFonts w:ascii="Calibri" w:hAnsi="Calibri"/>
          <w:color w:val="525866"/>
          <w:sz w:val="22"/>
        </w:rPr>
        <w:t xml:space="preserve"> Bloomberg reported quality issues with Lennar-built homes for the Seminole Tribe in Hollywood, FL (roof damage, buckling floors, mold). </w:t>
      </w:r>
      <w:r>
        <w:rPr>
          <w:rFonts w:ascii="Calibri" w:hAnsi="Calibri"/>
          <w:b/>
          <w:color w:val="525866"/>
          <w:sz w:val="22"/>
        </w:rPr>
        <w:t>Implication:</w:t>
      </w:r>
      <w:r>
        <w:rPr>
          <w:rFonts w:ascii="Calibri" w:hAnsi="Calibri"/>
          <w:color w:val="525866"/>
          <w:sz w:val="22"/>
        </w:rPr>
        <w:t xml:space="preserve"> Minimal direct impact on PHM, but highlights ongoing construction quality risks across the industry.</w:t>
      </w:r>
    </w:p>
    <w:p>
      <w:pPr>
        <w:pStyle w:val="ListBullet"/>
        <w:ind w:left="360" w:hanging="360"/>
      </w:pPr>
      <w:r>
        <w:rPr>
          <w:rFonts w:ascii="Calibri" w:hAnsi="Calibri"/>
          <w:b/>
          <w:color w:val="525866"/>
          <w:sz w:val="22"/>
        </w:rPr>
        <w:t>April 23, 2026 — PHM Q1 2026 earnings: EPS miss, revenue beat; spec inventory normalized.</w:t>
      </w:r>
      <w:r>
        <w:rPr>
          <w:rFonts w:ascii="Calibri" w:hAnsi="Calibri"/>
          <w:color w:val="525866"/>
          <w:sz w:val="22"/>
        </w:rPr>
        <w:t xml:space="preserve"> PHM reported Q1 2026 with EPS of $1.79 (vs. $1.81 consensus) and revenue of $3.41B (vs. $3.39B consensus). Finished spec inventory reduced to 1.4 per community (within 1.0–1.5 target). Full-year guidance reaffirmed. Q2 flagged as gross margin trough. </w:t>
      </w:r>
      <w:r>
        <w:rPr>
          <w:rFonts w:ascii="Calibri" w:hAnsi="Calibri"/>
          <w:b/>
          <w:color w:val="525866"/>
          <w:sz w:val="22"/>
        </w:rPr>
        <w:t>Implication:</w:t>
      </w:r>
      <w:r>
        <w:rPr>
          <w:rFonts w:ascii="Calibri" w:hAnsi="Calibri"/>
          <w:color w:val="525866"/>
          <w:sz w:val="22"/>
        </w:rPr>
        <w:t xml:space="preserve"> The baseline for Q2 expectations. The spec normalization milestone was the key positive; the EPS miss and elevated incentives (10.9% of gross sales price) were the negatives.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