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fe268dd9600b66e07017a80f6d3e5299fc4e717"/>
    <w:p>
      <w:pPr>
        <w:pStyle w:val="Heading1"/>
      </w:pPr>
      <w:r>
        <w:t xml:space="preserve">PKG (Packaging Corporation of America)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close, July 22, 2026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July 23, 2026 (9:00am ET) |</w:t>
      </w:r>
      <w:r>
        <w:t xml:space="preserve"> </w:t>
      </w:r>
      <w:r>
        <w:rPr>
          <w:b/>
          <w:bCs/>
        </w:rPr>
        <w:t xml:space="preserve">Guidance:</w:t>
      </w:r>
      <w:r>
        <w:t xml:space="preserve"> </w:t>
      </w:r>
      <w:r>
        <w:t xml:space="preserve">$2.33 EPS ex-items |</w:t>
      </w:r>
      <w:r>
        <w:t xml:space="preserve"> </w:t>
      </w:r>
      <w:r>
        <w:rPr>
          <w:b/>
          <w:bCs/>
        </w:rPr>
        <w:t xml:space="preserve">Stock (7/21):</w:t>
      </w:r>
      <w:r>
        <w:t xml:space="preserve"> </w:t>
      </w:r>
      <w:r>
        <w:t xml:space="preserve">$228.25</w:t>
      </w:r>
    </w:p>
    <w:p>
      <w:r>
        <w:pict>
          <v:rect style="width:0;height:1.5pt" o:hralign="center" o:hrstd="t" o:hr="t"/>
        </w:pic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"transition quarter"</w:t>
      </w:r>
      <w:r>
        <w:t xml:space="preserve"> </w:t>
      </w:r>
      <w:r>
        <w:t xml:space="preserve">for PKG: management has explicitly framed Q2 as the trough before a much stronger Q3, weighed down by a heavy maintenance schedule, cost inflation, and only partial realization of a $50/ton box price increase — while the Greif acquisition flips from a drag to a contributor. The number to beat is management's own $2.33 guide; the more important signals are the Q3 setup and Greif's trajectory.</w:t>
      </w:r>
    </w:p>
    <w:bookmarkEnd w:id="9"/>
    <w:bookmarkStart w:id="10" w:name="key-numbers-to-frame-the-print"/>
    <w:p>
      <w:pPr>
        <w:pStyle w:val="Heading2"/>
      </w:pPr>
      <w:r>
        <w:t xml:space="preserve">Key Numbers to Frame the Print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(guided/est.)</w:t>
            </w:r>
          </w:p>
        </w:tc>
        <w:tc>
          <w:tcPr/>
          <w:p>
            <w:pPr>
              <w:pStyle w:val="Compact"/>
            </w:pPr>
            <w:r>
              <w:t xml:space="preserve">Q1 2026 (actual)</w:t>
            </w:r>
          </w:p>
        </w:tc>
        <w:tc>
          <w:tcPr/>
          <w:p>
            <w:pPr>
              <w:pStyle w:val="Compact"/>
            </w:pPr>
            <w:r>
              <w:t xml:space="preserve">Q2 2025 (actual)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 ex-items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$2.33 (guide)</w:t>
            </w:r>
          </w:p>
        </w:tc>
        <w:tc>
          <w:tcPr/>
          <w:p>
            <w:pPr>
              <w:pStyle w:val="Compact"/>
            </w:pPr>
            <w:r>
              <w:t xml:space="preserve">$2.40</w:t>
            </w:r>
          </w:p>
        </w:tc>
        <w:tc>
          <w:tcPr/>
          <w:p>
            <w:pPr>
              <w:pStyle w:val="Compact"/>
            </w:pPr>
            <w:r>
              <w:t xml:space="preserve">$2.48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2.31</m:t>
              </m:r>
              <m:r>
                <m:rPr>
                  <m:sty m:val="p"/>
                </m:rPr>
                <m:t>–</m:t>
              </m:r>
            </m:oMath>
            <w:r>
              <w:t xml:space="preserve">2.36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~$2.4B (consensus)</w:t>
            </w:r>
          </w:p>
        </w:tc>
        <w:tc>
          <w:tcPr/>
          <w:p>
            <w:pPr>
              <w:pStyle w:val="Compact"/>
            </w:pPr>
            <w:r>
              <w:t xml:space="preserve">$2.37B</w:t>
            </w:r>
          </w:p>
        </w:tc>
        <w:tc>
          <w:tcPr/>
          <w:p>
            <w:pPr>
              <w:pStyle w:val="Compact"/>
            </w:pPr>
            <w:r>
              <w:t xml:space="preserve">$2.17B</w:t>
            </w:r>
          </w:p>
        </w:tc>
      </w:tr>
    </w:tbl>
    <w:p>
      <w:pPr>
        <w:pStyle w:val="BodyText"/>
      </w:pPr>
      <w:r>
        <w:t xml:space="preserve">A few things stand out: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PKG's own guide (</w:t>
      </w:r>
      <m:oMath>
        <m:r>
          <m:t>2.33</m:t>
        </m:r>
        <m:r>
          <m:rPr>
            <m:sty m:val="p"/>
          </m:rPr>
          <m:t>)</m:t>
        </m:r>
        <m:r>
          <m:t>i</m:t>
        </m:r>
        <m:r>
          <m:t>s</m:t>
        </m:r>
        <m:r>
          <m:rPr>
            <m:sty m:val="p"/>
          </m:rPr>
          <m:t>*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*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a</m:t>
        </m:r>
        <m:r>
          <m:t>g</m:t>
        </m:r>
        <m:r>
          <m:t>o</m:t>
        </m:r>
        <m:r>
          <m:rPr>
            <m:sty m:val="p"/>
          </m:rPr>
          <m:t>(</m:t>
        </m:r>
      </m:oMath>
      <w:r>
        <w:rPr>
          <w:b/>
          <w:bCs/>
        </w:rPr>
        <w:t xml:space="preserve">2.48 ex-items).</w:t>
      </w:r>
      <w:r>
        <w:t xml:space="preserve"> </w:t>
      </w:r>
      <w:r>
        <w:t xml:space="preserve">This would be a rare year-over-year EPS decline, driven almost entirely by timing (outages + price-increase lag + cost inflation), not demand.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is set to grow ~10%+ YoY</w:t>
      </w:r>
      <w:r>
        <w:t xml:space="preserve"> </w:t>
      </w:r>
      <w:r>
        <w:t xml:space="preserve">— the divergence between strong top-line (Greif volume) and softer EPS is the core narrative. Watch how the market reads through it.</w:t>
      </w:r>
    </w:p>
    <w:p>
      <w:pPr>
        <w:pStyle w:val="Compact"/>
        <w:numPr>
          <w:ilvl w:val="0"/>
          <w:numId w:val="1001"/>
        </w:numPr>
      </w:pPr>
      <w:r>
        <w:t xml:space="preserve">PKG has a strong habit of beating its own guide. In Q1 it delivered</w:t>
      </w:r>
      <w:r>
        <w:t xml:space="preserve"> </w:t>
      </w:r>
      <w:r>
        <w:rPr>
          <w:b/>
          <w:bCs/>
        </w:rPr>
        <w:t xml:space="preserve">$2.40 vs. a</w:t>
      </w:r>
      <w:r>
        <w:rPr>
          <w:b/>
          <w:bCs/>
        </w:rPr>
        <w:t xml:space="preserve"> </w:t>
      </w:r>
      <m:oMath>
        <m:r>
          <m:t>2.20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rPr>
            <m:sty m:val="p"/>
          </m:rPr>
          <m:t>(</m:t>
        </m:r>
        <m:r>
          <m:rPr>
            <m:sty m:val="p"/>
          </m:rPr>
          <m:t>+</m:t>
        </m:r>
      </m:oMath>
      <w:r>
        <w:rPr>
          <w:b/>
          <w:bCs/>
        </w:rPr>
        <w:t xml:space="preserve">0.20)</w:t>
      </w:r>
      <w:r>
        <w:t xml:space="preserve"> </w:t>
      </w:r>
      <w:r>
        <w:t xml:space="preserve">on operational outperformance, so the bar-clearing question is whether the beat cadence continues.</w:t>
      </w:r>
    </w:p>
    <w:bookmarkEnd w:id="10"/>
    <w:bookmarkStart w:id="14" w:name="the-three-things-that-matter-most"/>
    <w:p>
      <w:pPr>
        <w:pStyle w:val="Heading2"/>
      </w:pPr>
      <w:r>
        <w:t xml:space="preserve">The Three Things That Matter Most</w:t>
      </w:r>
    </w:p>
    <w:bookmarkStart w:id="11" w:name="Xa3c68349f36741413c291d47cb0a96d928aa66a"/>
    <w:p>
      <w:pPr>
        <w:pStyle w:val="Heading3"/>
      </w:pPr>
      <w:r>
        <w:t xml:space="preserve">1. The containerboard/box price increase — "muddy" implementation</w:t>
      </w:r>
    </w:p>
    <w:p>
      <w:pPr>
        <w:pStyle w:val="FirstParagraph"/>
      </w:pPr>
      <w:r>
        <w:t xml:space="preserve">Reported containerboard prices are up a net</w:t>
      </w:r>
      <w:r>
        <w:t xml:space="preserve"> </w:t>
      </w:r>
      <w:r>
        <w:rPr>
          <w:b/>
          <w:bCs/>
        </w:rPr>
        <w:t xml:space="preserve">$50/ton</w:t>
      </w:r>
      <w:r>
        <w:t xml:space="preserve"> </w:t>
      </w:r>
      <w:r>
        <w:t xml:space="preserve">since the start of the year, but management repeatedly called the rollout "muddy" (an unusual sequence of Pulp &amp; Paper Week down-then-up prints). Crucially, PCA said benefit</w:t>
      </w:r>
      <w:r>
        <w:t xml:space="preserve"> </w:t>
      </w:r>
      <w:r>
        <w:rPr>
          <w:b/>
          <w:bCs/>
        </w:rPr>
        <w:t xml:space="preserve">starts in May, ramps through June, with the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majority</w:t>
      </w:r>
      <w:r>
        <w:rPr>
          <w:b/>
          <w:bCs/>
        </w:rPr>
        <w:t xml:space="preserve"> </w:t>
      </w:r>
      <w:r>
        <w:rPr>
          <w:b/>
          <w:bCs/>
        </w:rPr>
        <w:t xml:space="preserve">landing in Q3</w:t>
      </w:r>
      <w:r>
        <w:t xml:space="preserve"> </w:t>
      </w:r>
      <w:r>
        <w:t xml:space="preserve">— so Q2 captures only a sliver.</w:t>
      </w:r>
      <w:r>
        <w:t xml:space="preserve"> </w:t>
      </w:r>
      <w:r>
        <w:rPr>
          <w:b/>
          <w:bCs/>
        </w:rPr>
        <w:t xml:space="preserve">Watch for:</w:t>
      </w:r>
      <w:r>
        <w:t xml:space="preserve"> </w:t>
      </w:r>
      <w:r>
        <w:t xml:space="preserve">confirmation the increase is sticking on both contract and non-contract business, and any updated color on the Q3 magnitude. This is the single biggest swing factor for 2H earnings power.</w:t>
      </w:r>
    </w:p>
    <w:bookmarkEnd w:id="11"/>
    <w:bookmarkStart w:id="12" w:name="X9ae7213cd9ba0490a4c26c66e4b9ba695f66f78"/>
    <w:p>
      <w:pPr>
        <w:pStyle w:val="Heading3"/>
      </w:pPr>
      <w:r>
        <w:t xml:space="preserve">2. Greif integration — inflection to accretive</w:t>
      </w:r>
    </w:p>
    <w:p>
      <w:pPr>
        <w:pStyle w:val="FirstParagraph"/>
      </w:pPr>
      <w:r>
        <w:t xml:space="preserve">The acquired Greif containerboard business has been a</w:t>
      </w:r>
      <w:r>
        <w:t xml:space="preserve"> </w:t>
      </w:r>
      <w:r>
        <w:rPr>
          <w:b/>
          <w:bCs/>
        </w:rPr>
        <w:t xml:space="preserve">loss (–</w:t>
      </w:r>
      <m:oMath>
        <m:r>
          <m:t>0.06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–</m:t>
        </m:r>
      </m:oMath>
      <w:r>
        <w:rPr>
          <w:b/>
          <w:bCs/>
        </w:rPr>
        <w:t xml:space="preserve">0.05 in Q4)</w:t>
      </w:r>
      <w:r>
        <w:t xml:space="preserve">, hurt by a January winter storm at Riverville and an unexpected seasonally weak Q1 for Greif's box business. Management guided Greif to</w:t>
      </w:r>
      <w:r>
        <w:t xml:space="preserve"> </w:t>
      </w:r>
      <w:r>
        <w:rPr>
          <w:b/>
          <w:bCs/>
        </w:rPr>
        <w:t xml:space="preserve">swing to roughly +$0.10 sequentially and turn accretive in Q2</w:t>
      </w:r>
      <w:r>
        <w:t xml:space="preserve">, with the</w:t>
      </w:r>
      <w:r>
        <w:t xml:space="preserve"> </w:t>
      </w:r>
      <w:r>
        <w:rPr>
          <w:i/>
          <w:iCs/>
        </w:rPr>
        <w:t xml:space="preserve">big</w:t>
      </w:r>
      <w:r>
        <w:t xml:space="preserve"> </w:t>
      </w:r>
      <w:r>
        <w:t xml:space="preserve">step-up in Q3 as seasonality, mix, and integration synergies build. Key milestones:</w:t>
      </w:r>
    </w:p>
    <w:p>
      <w:pPr>
        <w:pStyle w:val="Compact"/>
        <w:numPr>
          <w:ilvl w:val="0"/>
          <w:numId w:val="1002"/>
        </w:numPr>
      </w:pPr>
      <w:r>
        <w:t xml:space="preserve">Mills (Massillon, Riverville) already running ~97%+ uptime and ~10% above pre-acquisition rates</w:t>
      </w:r>
    </w:p>
    <w:p>
      <w:pPr>
        <w:pStyle w:val="Compact"/>
        <w:numPr>
          <w:ilvl w:val="0"/>
          <w:numId w:val="1002"/>
        </w:numPr>
      </w:pPr>
      <w:r>
        <w:t xml:space="preserve">Synergy run-rate tracking to</w:t>
      </w:r>
      <w:r>
        <w:t xml:space="preserve"> </w:t>
      </w:r>
      <w:r>
        <w:rPr>
          <w:b/>
          <w:bCs/>
        </w:rPr>
        <w:t xml:space="preserve">~$30M by year-end</w:t>
      </w:r>
      <w:r>
        <w:t xml:space="preserve"> </w:t>
      </w:r>
      <w:r>
        <w:t xml:space="preserve">(of a $60M target), starting from $15–20M of mill productivity</w:t>
      </w:r>
    </w:p>
    <w:p>
      <w:pPr>
        <w:pStyle w:val="Compact"/>
        <w:numPr>
          <w:ilvl w:val="0"/>
          <w:numId w:val="1002"/>
        </w:numPr>
      </w:pPr>
      <w:r>
        <w:t xml:space="preserve">Systems integration targeted for</w:t>
      </w:r>
      <w:r>
        <w:t xml:space="preserve"> </w:t>
      </w:r>
      <w:r>
        <w:rPr>
          <w:b/>
          <w:bCs/>
        </w:rPr>
        <w:t xml:space="preserve">completion by end of Q3</w:t>
      </w:r>
    </w:p>
    <w:p>
      <w:pPr>
        <w:pStyle w:val="FirstParagraph"/>
      </w:pPr>
      <w:r>
        <w:rPr>
          <w:b/>
          <w:bCs/>
        </w:rPr>
        <w:t xml:space="preserve">Watch for:</w:t>
      </w:r>
      <w:r>
        <w:t xml:space="preserve"> </w:t>
      </w:r>
      <w:r>
        <w:t xml:space="preserve">whether Q2 accretion actually materialized, updated synergy commentary, and any hint of upside to the $60M target.</w:t>
      </w:r>
    </w:p>
    <w:bookmarkEnd w:id="12"/>
    <w:bookmarkStart w:id="13" w:name="X129ea2f03ccddb112592b1856982c2fa7249e46"/>
    <w:p>
      <w:pPr>
        <w:pStyle w:val="Heading3"/>
      </w:pPr>
      <w:r>
        <w:t xml:space="preserve">3. The cost &amp; outage wall in Q2</w:t>
      </w:r>
    </w:p>
    <w:p>
      <w:pPr>
        <w:pStyle w:val="FirstParagraph"/>
      </w:pPr>
      <w:r>
        <w:t xml:space="preserve">Management pre-flagged an unusually heavy sequential cost load, which is why the guide steps down: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Maintenance outages at 5 packaging mills</w:t>
      </w:r>
      <w:r>
        <w:t xml:space="preserve"> </w:t>
      </w:r>
      <w:r>
        <w:t xml:space="preserve">— outage expense ~$0.36 in Q2 vs.</w:t>
      </w:r>
      <w:r>
        <w:t xml:space="preserve"> </w:t>
      </w:r>
      <m:oMath>
        <m:r>
          <m:t>0.14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(</m:t>
        </m:r>
        <m:r>
          <m:t> </m:t>
        </m:r>
      </m:oMath>
      <w:r>
        <w:t xml:space="preserve">0.22 headwind)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Freight, fiber &amp; chemicals up ~$0.15 sequentially</w:t>
      </w:r>
      <w:r>
        <w:t xml:space="preserve"> </w:t>
      </w:r>
      <w:r>
        <w:t xml:space="preserve">(diesel +50%, petroleum-linked chemicals, recycled/wood fiber) — Middle East–driven input inflation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Higher stock-comp</w:t>
      </w:r>
      <w:r>
        <w:t xml:space="preserve"> </w:t>
      </w:r>
      <w:r>
        <w:t xml:space="preserve">— a timing change adds ~$17M for 2026 and removes the usual Q1→Q2 wage/benefit tailwind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Tax rate rising to ~26%</w:t>
      </w:r>
      <w:r>
        <w:t xml:space="preserve"> </w:t>
      </w:r>
      <w:r>
        <w:t xml:space="preserve">(from ~23% in Q1, which had equity-vesting benefit)</w:t>
      </w:r>
    </w:p>
    <w:p>
      <w:pPr>
        <w:pStyle w:val="FirstParagraph"/>
      </w:pPr>
      <w:r>
        <w:rPr>
          <w:b/>
          <w:bCs/>
        </w:rPr>
        <w:t xml:space="preserve">Watch for:</w:t>
      </w:r>
      <w:r>
        <w:t xml:space="preserve"> </w:t>
      </w:r>
      <w:r>
        <w:t xml:space="preserve">whether PKG's "run it well" execution again offsets more of this than modeled — its recurring source of beats.</w:t>
      </w:r>
    </w:p>
    <w:bookmarkEnd w:id="13"/>
    <w:bookmarkEnd w:id="14"/>
    <w:bookmarkStart w:id="15" w:name="demand-backdrop--still-the-bright-spot"/>
    <w:p>
      <w:pPr>
        <w:pStyle w:val="Heading2"/>
      </w:pPr>
      <w:r>
        <w:t xml:space="preserve">Demand Backdrop — Still the Bright Spot</w:t>
      </w:r>
    </w:p>
    <w:p>
      <w:pPr>
        <w:pStyle w:val="FirstParagraph"/>
      </w:pPr>
      <w:r>
        <w:t xml:space="preserve">Corrugated demand has been genuinely healthy. Legacy shipments ran</w:t>
      </w:r>
      <w:r>
        <w:t xml:space="preserve"> </w:t>
      </w:r>
      <w:r>
        <w:rPr>
          <w:b/>
          <w:bCs/>
        </w:rPr>
        <w:t xml:space="preserve">+2.8%/day in Q1 (a record)</w:t>
      </w:r>
      <w:r>
        <w:t xml:space="preserve">, and management said April</w:t>
      </w:r>
      <w:r>
        <w:t xml:space="preserve"> </w:t>
      </w:r>
      <w:r>
        <w:rPr>
          <w:b/>
          <w:bCs/>
        </w:rPr>
        <w:t xml:space="preserve">bookings &amp; billings were up ~4.5%</w:t>
      </w:r>
      <w:r>
        <w:t xml:space="preserve">, with</w:t>
      </w:r>
      <w:r>
        <w:t xml:space="preserve"> </w:t>
      </w:r>
      <w:r>
        <w:rPr>
          <w:b/>
          <w:bCs/>
        </w:rPr>
        <w:t xml:space="preserve">no evidence of pre-buying</w:t>
      </w:r>
      <w:r>
        <w:t xml:space="preserve"> </w:t>
      </w:r>
      <w:r>
        <w:t xml:space="preserve">ahead of the price hike and customers holding lean inventories. Q2 was expected to "shape up similarly." Management flagged resilient food &amp; beverage demand (adapting to GLP-1 dynamics) and a nascent recovery in building products, and cited coming consumer tax refunds as a 2H tailwind.</w:t>
      </w:r>
      <w:r>
        <w:t xml:space="preserve"> </w:t>
      </w:r>
      <w:r>
        <w:rPr>
          <w:b/>
          <w:bCs/>
        </w:rPr>
        <w:t xml:space="preserve">Watch for:</w:t>
      </w:r>
      <w:r>
        <w:t xml:space="preserve"> </w:t>
      </w:r>
      <w:r>
        <w:t xml:space="preserve">the July bookings/billings read and any change in tone on the macro/consumer.</w:t>
      </w:r>
    </w:p>
    <w:bookmarkEnd w:id="15"/>
    <w:bookmarkStart w:id="16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PKG trades at</w:t>
      </w:r>
      <w:r>
        <w:t xml:space="preserve"> </w:t>
      </w:r>
      <w:r>
        <w:rPr>
          <w:b/>
          <w:bCs/>
        </w:rPr>
        <w:t xml:space="preserve">$228</w:t>
      </w:r>
      <w:r>
        <w:t xml:space="preserve">, roughly flat-to-down over 2026 and off ~5% from its late-June high near</w:t>
      </w:r>
      <w:r>
        <w:t xml:space="preserve"> </w:t>
      </w:r>
      <m:oMath>
        <m:r>
          <m:t>241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s</m:t>
        </m:r>
        <m:r>
          <m:t>e</m:t>
        </m:r>
        <m:r>
          <m:t>n</m:t>
        </m:r>
        <m:r>
          <m:t>t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d</m:t>
        </m:r>
        <m:r>
          <m:t>l</m:t>
        </m:r>
        <m:r>
          <m:t>e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s</m:t>
        </m:r>
        <m:r>
          <m:t>e</m:t>
        </m:r>
        <m:r>
          <m:t>l</m:t>
        </m:r>
        <m:r>
          <m:t>l</m:t>
        </m:r>
        <m:r>
          <m:rPr>
            <m:sty m:val="p"/>
          </m:rPr>
          <m:t>−</m:t>
        </m:r>
        <m:r>
          <m:t>s</m:t>
        </m:r>
        <m:r>
          <m:t>i</m:t>
        </m:r>
        <m:r>
          <m:t>d</m:t>
        </m:r>
        <m:r>
          <m:t>e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l</m:t>
        </m:r>
        <m:r>
          <m:t>y</m:t>
        </m:r>
        <m:r>
          <m:t>s</m:t>
        </m:r>
        <m:r>
          <m:t>p</m:t>
        </m:r>
        <m:r>
          <m:t>a</m:t>
        </m:r>
        <m:r>
          <m:t>n</m:t>
        </m:r>
        <m:r>
          <m:t>n</m:t>
        </m:r>
        <m:r>
          <m:t>i</m:t>
        </m:r>
        <m:r>
          <m:t>n</m:t>
        </m:r>
        <m:r>
          <m:t>g</m:t>
        </m:r>
        <m:r>
          <m:t> </m:t>
        </m:r>
      </m:oMath>
      <w:r>
        <w:t xml:space="preserve">226–$273. Given the guide is already known and below year-ago, the reaction likely hinges less on the Q2 EPS itself and more on: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Q3 guidance</w:t>
      </w:r>
      <w:r>
        <w:t xml:space="preserve"> </w:t>
      </w:r>
      <w:r>
        <w:t xml:space="preserve">(the market wants confirmation of the big 2H step-up from price + Greif)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Any Greif accretion/synergy upside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Confirmation the $50/ton increase is holding</w:t>
      </w:r>
    </w:p>
    <w:p>
      <w:pPr>
        <w:pStyle w:val="FirstParagraph"/>
      </w:pPr>
      <w:r>
        <w:t xml:space="preserve">A "beat-and-flat-guide" could disappoint if it implies the 2H ramp is smaller than hoped; conversely, an in-line Q2 with a strong Q3 outlook is the bull case.</w:t>
      </w:r>
    </w:p>
    <w:bookmarkEnd w:id="16"/>
    <w:bookmarkStart w:id="17" w:name="also-worth-monitoring"/>
    <w:p>
      <w:pPr>
        <w:pStyle w:val="Heading2"/>
      </w:pPr>
      <w:r>
        <w:t xml:space="preserve">Also Worth Monitoring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Capital projects:</w:t>
      </w:r>
      <w:r>
        <w:t xml:space="preserve"> </w:t>
      </w:r>
      <w:r>
        <w:t xml:space="preserve">three gas-turbine projects (Jackson, Riverville, and a proposed DeRidder unit) would take PKG to 4 of 10 mills off-grid; watch for the DeRidder approval and any CapEx update (FY guide: $840–870M CapEx, $700M DD&amp;A).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Wallula mill restructuring:</w:t>
      </w:r>
      <w:r>
        <w:t xml:space="preserve"> </w:t>
      </w:r>
      <w:r>
        <w:t xml:space="preserve">now essentially complete (drove the $53M Q1 special item and elevated D&amp;A); should be a cost tailwind going forward.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Capital returns:</w:t>
      </w:r>
      <w:r>
        <w:t xml:space="preserve"> </w:t>
      </w:r>
      <w:r>
        <w:t xml:space="preserve">modest buybacks (mostly offsetting dilution); ~</w:t>
      </w:r>
      <m:oMath>
        <m:r>
          <m:t>224</m:t>
        </m:r>
        <m:r>
          <m:t>M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rPr>
            <m:sty m:val="p"/>
          </m:rPr>
          <m:t>,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 </m:t>
        </m:r>
      </m:oMath>
      <w:r>
        <w:t xml:space="preserve">112M/quarter.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Recycled vs. virgin strategy:</w:t>
      </w:r>
      <w:r>
        <w:t xml:space="preserve"> </w:t>
      </w:r>
      <w:r>
        <w:t xml:space="preserve">with Greif adding recycled exposure and a competitor buying a recycled mill, watch for commentary on PKG's capacity path (management remains primarily virgin-kraft).</w: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</w:t>
      </w:r>
      <w:r>
        <w:t xml:space="preserve"> </w:t>
      </w:r>
      <w:r>
        <w:rPr>
          <w:b/>
          <w:bCs/>
        </w:rPr>
        <w:t xml:space="preserve">soft-optically Q2</w:t>
      </w:r>
      <w:r>
        <w:t xml:space="preserve"> </w:t>
      </w:r>
      <w:r>
        <w:t xml:space="preserve">— in line with or modestly ahead of the $2.33 guide, down YoY on timing — that management will frame as the low point before a meaningful Q3 acceleration. The report is less about the headline EPS and more about three forward reads:</w:t>
      </w:r>
      <w:r>
        <w:t xml:space="preserve"> </w:t>
      </w:r>
      <w:r>
        <w:rPr>
          <w:b/>
          <w:bCs/>
        </w:rPr>
        <w:t xml:space="preserve">(1) is the $50/ton price increase sticking, (2) did Greif turn accretive and how fast are synergies building, and (3) how strong is the Q3 guide.</w:t>
      </w:r>
      <w:r>
        <w:t xml:space="preserve"> </w:t>
      </w:r>
      <w:r>
        <w:t xml:space="preserve">Demand remains the reassuring constant; costs and price-timing are the near-term drag.</w:t>
      </w:r>
    </w:p>
    <w:p>
      <w:pPr>
        <w:pStyle w:val="BodyText"/>
      </w:pPr>
      <w:r>
        <w:rPr>
          <w:i/>
          <w:iCs/>
        </w:rPr>
        <w:t xml:space="preserve">Note: figures reflect PKG's disclosed Q1 2026 results/guidance and prior-period filings; consensus figures are from publicly reported estimates and may differ modestly across providers.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2026-07-22T01:32:46Z</dcterms:created>
  <dcterms:modified xsi:type="dcterms:W3CDTF">2026-07-22T01:32:46Z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