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X51ca0348bde1d189058a31d358a5764012dcb72"/>
    <w:p>
      <w:pPr>
        <w:pStyle w:val="Heading1"/>
      </w:pPr>
      <w:r>
        <w:t xml:space="preserve">Packaging Corporation of America (PKG) — Q2 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Wednesday, July 22, 2026, after market close |</w:t>
      </w:r>
      <w:r>
        <w:t xml:space="preserve"> </w:t>
      </w:r>
      <w:r>
        <w:rPr>
          <w:b/>
          <w:bCs/>
        </w:rPr>
        <w:t xml:space="preserve">Call:</w:t>
      </w:r>
      <w:r>
        <w:t xml:space="preserve"> </w:t>
      </w:r>
      <w:r>
        <w:t xml:space="preserve">2026Q2 Earnings Call</w:t>
      </w:r>
    </w:p>
    <w:p>
      <w:r>
        <w:pict>
          <v:rect style="width:0;height:1.5pt" o:hralign="center" o:hrstd="t" o:hr="t"/>
        </w:pict>
      </w:r>
    </w:p>
    <w:bookmarkStart w:id="9" w:name="setup-into-the-print"/>
    <w:p>
      <w:pPr>
        <w:pStyle w:val="Heading2"/>
      </w:pPr>
      <w:r>
        <w:t xml:space="preserve">Setup Into the Print</w:t>
      </w:r>
    </w:p>
    <w:p>
      <w:pPr>
        <w:pStyle w:val="FirstParagraph"/>
      </w:pPr>
      <w:r>
        <w:t xml:space="preserve">PKG shares closed around</w:t>
      </w:r>
      <w:r>
        <w:t xml:space="preserve"> </w:t>
      </w:r>
      <w:r>
        <w:rPr>
          <w:b/>
          <w:bCs/>
        </w:rPr>
        <w:t xml:space="preserve">$228</w:t>
      </w:r>
      <w:r>
        <w:t xml:space="preserve"> </w:t>
      </w:r>
      <w:r>
        <w:t xml:space="preserve">heading into the print, off recent highs near</w:t>
      </w:r>
      <w:r>
        <w:t xml:space="preserve"> </w:t>
      </w:r>
      <m:oMath>
        <m:r>
          <m:t>241</m:t>
        </m:r>
        <m:r>
          <m:t>h</m:t>
        </m:r>
        <m:r>
          <m:t>i</m:t>
        </m:r>
        <m:r>
          <m:t>t</m:t>
        </m:r>
        <m:r>
          <m:t>i</m:t>
        </m:r>
        <m:r>
          <m:t>n</m:t>
        </m:r>
        <m:r>
          <m:t>l</m:t>
        </m:r>
        <m:r>
          <m:t>a</m:t>
        </m:r>
        <m:r>
          <m:t>t</m:t>
        </m:r>
        <m:r>
          <m:t>e</m:t>
        </m:r>
        <m:r>
          <m:t>J</m:t>
        </m:r>
        <m:r>
          <m:t>u</m:t>
        </m:r>
        <m:r>
          <m:t>n</m:t>
        </m:r>
        <m:r>
          <m:t>e</m:t>
        </m:r>
        <m:r>
          <m:t>b</m:t>
        </m:r>
        <m:r>
          <m:t>u</m:t>
        </m:r>
        <m:r>
          <m:t>t</m:t>
        </m:r>
        <m:r>
          <m:t>s</m:t>
        </m:r>
        <m:r>
          <m:t>t</m:t>
        </m:r>
        <m:r>
          <m:t>i</m:t>
        </m:r>
        <m:r>
          <m:t>l</m:t>
        </m:r>
        <m:r>
          <m:t>l</m:t>
        </m:r>
        <m:r>
          <m:t>u</m:t>
        </m:r>
        <m:r>
          <m:t>p</m:t>
        </m:r>
        <m:r>
          <m:t>m</m:t>
        </m:r>
        <m:r>
          <m:t>e</m:t>
        </m:r>
        <m:r>
          <m:t>a</m:t>
        </m:r>
        <m:r>
          <m:t>n</m:t>
        </m:r>
        <m:r>
          <m:t>i</m:t>
        </m:r>
        <m:r>
          <m:t>n</m:t>
        </m:r>
        <m:r>
          <m:t>g</m:t>
        </m:r>
        <m:r>
          <m:t>f</m:t>
        </m:r>
        <m:r>
          <m:t>u</m:t>
        </m:r>
        <m:r>
          <m:t>l</m:t>
        </m:r>
        <m:r>
          <m:t>l</m:t>
        </m:r>
        <m:r>
          <m:t>y</m:t>
        </m:r>
        <m:r>
          <m:t>f</m:t>
        </m:r>
        <m:r>
          <m:t>r</m:t>
        </m:r>
        <m:r>
          <m:t>o</m:t>
        </m:r>
        <m:r>
          <m:t>m</m:t>
        </m:r>
        <m:r>
          <m:t>w</m:t>
        </m:r>
        <m:r>
          <m:t>h</m:t>
        </m:r>
        <m:r>
          <m:t>e</m:t>
        </m:r>
        <m:r>
          <m:t>r</m:t>
        </m:r>
        <m:r>
          <m:t>e</m:t>
        </m:r>
        <m:r>
          <m:t>t</m:t>
        </m:r>
        <m:r>
          <m:t>h</m:t>
        </m:r>
        <m:r>
          <m:t>e</m:t>
        </m:r>
        <m:r>
          <m:t>y</m:t>
        </m:r>
        <m:r>
          <m:t>s</m:t>
        </m:r>
        <m:r>
          <m:t>t</m:t>
        </m:r>
        <m:r>
          <m:t>a</m:t>
        </m:r>
        <m:r>
          <m:t>r</m:t>
        </m:r>
        <m:r>
          <m:t>t</m:t>
        </m:r>
        <m:r>
          <m:t>e</m:t>
        </m:r>
        <m:r>
          <m:t>d</m:t>
        </m:r>
        <m:r>
          <m:t>2026</m:t>
        </m:r>
        <m:r>
          <m:rPr>
            <m:sty m:val="p"/>
          </m:rPr>
          <m:t>(</m:t>
        </m:r>
        <m:r>
          <m:t> </m:t>
        </m:r>
      </m:oMath>
      <w:r>
        <w:t xml:space="preserve">211). The stock has been volatile around containerboard pricing headlines and analyst target revisions — Bank of America raised its target to</w:t>
      </w:r>
      <w:r>
        <w:t xml:space="preserve"> </w:t>
      </w:r>
      <w:r>
        <w:rPr>
          <w:b/>
          <w:bCs/>
        </w:rPr>
        <w:t xml:space="preserve">$263</w:t>
      </w:r>
      <w:r>
        <w:t xml:space="preserve"> </w:t>
      </w:r>
      <w:r>
        <w:t xml:space="preserve">(from</w:t>
      </w:r>
      <w:r>
        <w:t xml:space="preserve"> </w:t>
      </w:r>
      <m:oMath>
        <m:r>
          <m:t>242</m:t>
        </m:r>
        <m:r>
          <m:rPr>
            <m:sty m:val="p"/>
          </m:rPr>
          <m:t>)</m:t>
        </m:r>
        <m:r>
          <m:t>a</m:t>
        </m:r>
        <m:r>
          <m:t>n</m:t>
        </m:r>
        <m:r>
          <m:t>d</m:t>
        </m:r>
        <m:r>
          <m:t>T</m:t>
        </m:r>
        <m:r>
          <m:t>r</m:t>
        </m:r>
        <m:r>
          <m:t>u</m:t>
        </m:r>
        <m:r>
          <m:t>i</m:t>
        </m:r>
        <m:r>
          <m:t>s</m:t>
        </m:r>
        <m:r>
          <m:t>t</m:t>
        </m:r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r>
          <m:t>i</m:t>
        </m:r>
        <m:r>
          <m:t>e</m:t>
        </m:r>
        <m:r>
          <m:t>s</m:t>
        </m:r>
        <m:r>
          <m:t>l</m:t>
        </m:r>
        <m:r>
          <m:t>i</m:t>
        </m:r>
        <m:r>
          <m:t>f</m:t>
        </m:r>
        <m:r>
          <m:t>t</m:t>
        </m:r>
        <m:r>
          <m:t>e</m:t>
        </m:r>
        <m:r>
          <m:t>d</m:t>
        </m:r>
        <m:r>
          <m:t>i</m:t>
        </m:r>
        <m:r>
          <m:t>t</m:t>
        </m:r>
        <m:r>
          <m:t>s</m:t>
        </m:r>
        <m:r>
          <m:t>t</m:t>
        </m:r>
        <m:r>
          <m:t>a</m:t>
        </m:r>
        <m:r>
          <m:t>r</m:t>
        </m:r>
        <m:r>
          <m:t>g</m:t>
        </m:r>
        <m:r>
          <m:t>e</m:t>
        </m:r>
        <m:r>
          <m:t>t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270** (from $258) in mid-July, both maintaining bullish ratings, even as some other commentators have flagged valuation and demand-growth concerns.</w:t>
      </w:r>
    </w:p>
    <w:p>
      <w:pPr>
        <w:pStyle w:val="BodyText"/>
      </w:pPr>
      <w:r>
        <w:t xml:space="preserve">Consensus expectations going into the quarter: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Revenue:</w:t>
      </w:r>
      <w:r>
        <w:t xml:space="preserve"> </w:t>
      </w:r>
      <w:r>
        <w:t xml:space="preserve">~$2.40 billion, roughly</w:t>
      </w:r>
      <w:r>
        <w:t xml:space="preserve"> </w:t>
      </w:r>
      <w:r>
        <w:rPr>
          <w:b/>
          <w:bCs/>
        </w:rPr>
        <w:t xml:space="preserve">+10.7% year-over-year</w:t>
      </w:r>
      <w:r>
        <w:t xml:space="preserve">, driven largely by the Greif containerboard/corrugated acquisition closed in late 2025.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EPS (ex-items):</w:t>
      </w:r>
      <w:r>
        <w:t xml:space="preserve"> </w:t>
      </w:r>
      <w:r>
        <w:t xml:space="preserve">Consensus sits around</w:t>
      </w:r>
      <w:r>
        <w:t xml:space="preserve"> </w:t>
      </w:r>
      <m:oMath>
        <m:r>
          <m:t>2.31</m:t>
        </m:r>
        <m:r>
          <m:rPr>
            <m:sty m:val="p"/>
          </m:rPr>
          <m:t>–</m:t>
        </m:r>
      </m:oMath>
      <w:r>
        <w:rPr>
          <w:b/>
          <w:bCs/>
        </w:rPr>
        <w:t xml:space="preserve">2.36</w:t>
      </w:r>
      <w:r>
        <w:t xml:space="preserve">, which would represent a</w:t>
      </w:r>
      <w:r>
        <w:t xml:space="preserve"> </w:t>
      </w:r>
      <w:r>
        <w:rPr>
          <w:b/>
          <w:bCs/>
        </w:rPr>
        <w:t xml:space="preserve">~5–7% year-over-year decline</w:t>
      </w:r>
      <w:r>
        <w:t xml:space="preserve"> </w:t>
      </w:r>
      <w:r>
        <w:t xml:space="preserve">from $2.48 in Q2 2025 — despite the double-digit revenue growth, reflecting margin pressure from outage costs, freight/input inflation, and Greif integration drag.</w:t>
      </w:r>
    </w:p>
    <w:p>
      <w:pPr>
        <w:pStyle w:val="Compact"/>
        <w:numPr>
          <w:ilvl w:val="0"/>
          <w:numId w:val="1001"/>
        </w:numPr>
      </w:pPr>
      <w:r>
        <w:t xml:space="preserve">Management's own guidance, given on the Q1 call, was</w:t>
      </w:r>
      <w:r>
        <w:t xml:space="preserve"> </w:t>
      </w:r>
      <w:r>
        <w:rPr>
          <w:b/>
          <w:bCs/>
        </w:rPr>
        <w:t xml:space="preserve">$2.33 per share excluding special items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9"/>
    <w:bookmarkStart w:id="10" w:name="what-happened-last-quarter-q1-2026-recap"/>
    <w:p>
      <w:pPr>
        <w:pStyle w:val="Heading2"/>
      </w:pPr>
      <w:r>
        <w:t xml:space="preserve">What Happened Last Quarter (Q1 2026 Recap)</w:t>
      </w:r>
    </w:p>
    <w:p>
      <w:pPr>
        <w:pStyle w:val="FirstParagraph"/>
      </w:pPr>
      <w:r>
        <w:t xml:space="preserve">PKG beat its own guidance in Q1, reporting first quarter net income of $171 million or $1.91 per share, and excluding special items, net income of $215 million or $2.40 per share compared to first quarter 2025 net income of $208 million or $2.31 per share, comfortably ahead of the $2.20 guide, driven by favorable volume and mix in the legacy packaging segment, favorable labor and operating costs, and a lower tax rate. Packaging segment EBITDA margin expanded to</w:t>
      </w:r>
      <w:r>
        <w:t xml:space="preserve"> </w:t>
      </w:r>
      <w:r>
        <w:rPr>
          <w:b/>
          <w:bCs/>
        </w:rPr>
        <w:t xml:space="preserve">22%</w:t>
      </w:r>
      <w:r>
        <w:t xml:space="preserve"> </w:t>
      </w:r>
      <w:r>
        <w:t xml:space="preserve">from 20.8% a year earlier.</w:t>
      </w:r>
    </w:p>
    <w:p>
      <w:pPr>
        <w:pStyle w:val="BodyText"/>
      </w:pPr>
      <w:r>
        <w:t xml:space="preserve">Two storylines dominated Q1 and remain relevant into Q2: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Greif integration drag, now inflecting positive.</w:t>
      </w:r>
      <w:r>
        <w:t xml:space="preserve"> </w:t>
      </w:r>
      <w:r>
        <w:t xml:space="preserve">The acquired Greif operations were a</w:t>
      </w:r>
      <w:r>
        <w:t xml:space="preserve"> </w:t>
      </w:r>
      <m:oMath>
        <m:r>
          <m:t>0.06</m:t>
        </m:r>
        <m:r>
          <m:rPr>
            <m:sty m:val="p"/>
          </m:rPr>
          <m:t>/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d</m:t>
        </m:r>
        <m:r>
          <m:t>r</m:t>
        </m:r>
        <m:r>
          <m:t>a</m:t>
        </m:r>
        <m:r>
          <m:t>g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Q</m:t>
        </m:r>
        <m:r>
          <m:t>1</m:t>
        </m:r>
        <m:r>
          <m:rPr>
            <m:sty m:val="p"/>
          </m:rPr>
          <m:t>,</m:t>
        </m:r>
        <m:r>
          <m:t>l</m:t>
        </m:r>
        <m:r>
          <m:t>a</m:t>
        </m:r>
        <m:r>
          <m:t>r</m:t>
        </m:r>
        <m:r>
          <m:t>g</m:t>
        </m:r>
        <m:r>
          <m:t>e</m:t>
        </m:r>
        <m:r>
          <m:t>l</m:t>
        </m:r>
        <m:r>
          <m:t>y</m:t>
        </m:r>
        <m:r>
          <m:t>d</m:t>
        </m:r>
        <m:r>
          <m:t>u</m:t>
        </m:r>
        <m:r>
          <m:t>e</m:t>
        </m:r>
        <m:r>
          <m:t>t</m:t>
        </m:r>
        <m:r>
          <m:t>o</m:t>
        </m:r>
        <m:r>
          <m:t>a</m:t>
        </m:r>
        <m:r>
          <m:t>J</m:t>
        </m:r>
        <m:r>
          <m:t>a</m:t>
        </m:r>
        <m:r>
          <m:t>n</m:t>
        </m:r>
        <m:r>
          <m:t>u</m:t>
        </m:r>
        <m:r>
          <m:t>a</m:t>
        </m:r>
        <m:r>
          <m:t>r</m:t>
        </m:r>
        <m:r>
          <m:t>y</m:t>
        </m:r>
        <m:r>
          <m:t>w</m:t>
        </m:r>
        <m:r>
          <m:t>i</m:t>
        </m:r>
        <m:r>
          <m:t>n</m:t>
        </m:r>
        <m:r>
          <m:t>t</m:t>
        </m:r>
        <m:r>
          <m:t>e</m:t>
        </m:r>
        <m:r>
          <m:t>r</m:t>
        </m:r>
        <m:r>
          <m:t>s</m:t>
        </m:r>
        <m:r>
          <m:t>t</m:t>
        </m:r>
        <m:r>
          <m:t>o</m:t>
        </m:r>
        <m:r>
          <m:t>r</m:t>
        </m:r>
        <m:r>
          <m:t>m</m:t>
        </m:r>
        <m:r>
          <m:t>t</m:t>
        </m:r>
        <m:r>
          <m:t>h</m:t>
        </m:r>
        <m:r>
          <m:t>a</m:t>
        </m:r>
        <m:r>
          <m:t>t</m:t>
        </m:r>
        <m:r>
          <m:t>h</m:t>
        </m:r>
        <m:r>
          <m:t>i</m:t>
        </m:r>
        <m:r>
          <m:t>t</m:t>
        </m:r>
        <m:r>
          <m:t>t</m:t>
        </m:r>
        <m:r>
          <m:t>h</m:t>
        </m:r>
        <m:r>
          <m:t>e</m:t>
        </m:r>
        <m:r>
          <m:t>R</m:t>
        </m:r>
        <m:r>
          <m:t>i</m:t>
        </m:r>
        <m:r>
          <m:t>v</m:t>
        </m:r>
        <m:r>
          <m:t>e</m:t>
        </m:r>
        <m:r>
          <m:t>r</m:t>
        </m:r>
        <m:r>
          <m:t>v</m:t>
        </m:r>
        <m:r>
          <m:t>i</m:t>
        </m:r>
        <m:r>
          <m:t>l</m:t>
        </m:r>
        <m:r>
          <m:t>l</m:t>
        </m:r>
        <m:r>
          <m:t>e</m:t>
        </m:r>
        <m:r>
          <m:t>m</m:t>
        </m:r>
        <m:r>
          <m:t>i</m:t>
        </m:r>
        <m:r>
          <m:t>l</m:t>
        </m:r>
        <m:r>
          <m:t>l</m:t>
        </m:r>
        <m:r>
          <m:t>h</m:t>
        </m:r>
        <m:r>
          <m:t>a</m:t>
        </m:r>
        <m:r>
          <m:t>r</m:t>
        </m:r>
        <m:r>
          <m:t>d</m:t>
        </m:r>
        <m:r>
          <m:t>e</m:t>
        </m:r>
        <m:r>
          <m:t>s</m:t>
        </m:r>
        <m:r>
          <m:t>t</m:t>
        </m:r>
        <m:r>
          <m:t>a</m:t>
        </m:r>
        <m:r>
          <m:t>n</m:t>
        </m:r>
        <m:r>
          <m:t>d</m:t>
        </m:r>
        <m:r>
          <m:t>a</m:t>
        </m:r>
        <m:r>
          <m:t>n</m:t>
        </m:r>
        <m:r>
          <m:t>u</m:t>
        </m:r>
        <m:r>
          <m:t>n</m:t>
        </m:r>
        <m:r>
          <m:t>d</m:t>
        </m:r>
        <m:r>
          <m:t>e</m:t>
        </m:r>
        <m:r>
          <m:t>r</m:t>
        </m:r>
        <m:r>
          <m:t>a</m:t>
        </m:r>
        <m:r>
          <m:t>p</m:t>
        </m:r>
        <m:r>
          <m:t>p</m:t>
        </m:r>
        <m:r>
          <m:t>r</m:t>
        </m:r>
        <m:r>
          <m:t>e</m:t>
        </m:r>
        <m:r>
          <m:t>c</m:t>
        </m:r>
        <m:r>
          <m:t>i</m:t>
        </m:r>
        <m:r>
          <m:t>a</m:t>
        </m:r>
        <m:r>
          <m:t>t</m:t>
        </m:r>
        <m:r>
          <m:t>e</m:t>
        </m:r>
        <m:r>
          <m:t>d</m:t>
        </m:r>
        <m:r>
          <m:t>s</m:t>
        </m:r>
        <m:r>
          <m:t>e</m:t>
        </m:r>
        <m:r>
          <m:t>a</m:t>
        </m:r>
        <m:r>
          <m:t>s</m:t>
        </m:r>
        <m:r>
          <m:t>o</m:t>
        </m:r>
        <m:r>
          <m:t>n</m:t>
        </m:r>
        <m:r>
          <m:t>a</m:t>
        </m:r>
        <m:r>
          <m:t>l</m:t>
        </m:r>
        <m:r>
          <m:t>i</m:t>
        </m:r>
        <m:r>
          <m:t>t</m:t>
        </m:r>
        <m:r>
          <m:t>y</m:t>
        </m:r>
        <m:r>
          <m:t>p</m:t>
        </m:r>
        <m:r>
          <m:t>a</m:t>
        </m:r>
        <m:r>
          <m:t>t</m:t>
        </m:r>
        <m:r>
          <m:t>t</m:t>
        </m:r>
        <m:r>
          <m:t>e</m:t>
        </m:r>
        <m:r>
          <m:t>r</m:t>
        </m:r>
        <m:r>
          <m:t>n</m:t>
        </m:r>
        <m:r>
          <m:rPr>
            <m:sty m:val="p"/>
          </m:rPr>
          <m:t>(</m:t>
        </m:r>
        <m:r>
          <m:t>Q</m:t>
        </m:r>
        <m:r>
          <m:t>1</m:t>
        </m:r>
        <m:r>
          <m:t>i</m:t>
        </m:r>
        <m:r>
          <m:t>s</m:t>
        </m:r>
        <m:r>
          <m:t>G</m:t>
        </m:r>
        <m:r>
          <m:t>r</m:t>
        </m:r>
        <m:r>
          <m:t>e</m:t>
        </m:r>
        <m:r>
          <m:t>i</m:t>
        </m:r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s</m:t>
        </m:r>
        <m:r>
          <m:t>e</m:t>
        </m:r>
        <m:r>
          <m:t>a</m:t>
        </m:r>
        <m:r>
          <m:t>s</m:t>
        </m:r>
        <m:r>
          <m:t>o</m:t>
        </m:r>
        <m:r>
          <m:t>n</m:t>
        </m:r>
        <m:r>
          <m:t>a</m:t>
        </m:r>
        <m:r>
          <m:t>l</m:t>
        </m:r>
        <m:r>
          <m:t>l</m:t>
        </m:r>
        <m:r>
          <m:t>y</m:t>
        </m:r>
        <m:r>
          <m:t>w</m:t>
        </m:r>
        <m:r>
          <m:t>e</m:t>
        </m:r>
        <m:r>
          <m:t>a</m:t>
        </m:r>
        <m:r>
          <m:t>k</m:t>
        </m:r>
        <m:r>
          <m:t>e</m:t>
        </m:r>
        <m:r>
          <m:t>s</m:t>
        </m:r>
        <m:r>
          <m:t>t</m:t>
        </m:r>
        <m:r>
          <m:t>b</m:t>
        </m:r>
        <m:r>
          <m:t>o</m:t>
        </m:r>
        <m:r>
          <m:t>x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rPr>
            <m:sty m:val="p"/>
          </m:rPr>
          <m:t>)</m:t>
        </m:r>
        <m:r>
          <m:rPr>
            <m:sty m:val="p"/>
          </m:rPr>
          <m:t>.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g</m:t>
        </m:r>
        <m:r>
          <m:t>u</m:t>
        </m:r>
        <m:r>
          <m:t>i</m:t>
        </m:r>
        <m:r>
          <m:t>d</m:t>
        </m:r>
        <m:r>
          <m:t>e</m:t>
        </m:r>
        <m:r>
          <m:t>d</m:t>
        </m:r>
        <m:r>
          <m:t>t</m:t>
        </m:r>
        <m:r>
          <m:t>o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0.10/share sequential improvement</w:t>
      </w:r>
      <w:r>
        <w:t xml:space="preserve"> </w:t>
      </w:r>
      <w:r>
        <w:t xml:space="preserve">from Greif in Q2, with the "big benefit" expected in Q3 as mix, productivity, and integration synergies layer in. Synergy run-rate progress was reiterated at</w:t>
      </w:r>
      <w:r>
        <w:t xml:space="preserve"> </w:t>
      </w:r>
      <m:oMath>
        <m:r>
          <m:t>15</m:t>
        </m:r>
        <m:r>
          <m:rPr>
            <m:sty m:val="p"/>
          </m:rPr>
          <m:t>–</m:t>
        </m:r>
        <m:r>
          <m:t>20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f</m:t>
        </m:r>
        <m:r>
          <m:t>r</m:t>
        </m:r>
        <m:r>
          <m:t>o</m:t>
        </m:r>
        <m:r>
          <m:t>m</m:t>
        </m:r>
        <m:r>
          <m:t>m</m:t>
        </m:r>
        <m:r>
          <m:t>i</m:t>
        </m:r>
        <m:r>
          <m:t>l</m:t>
        </m:r>
        <m:r>
          <m:t>l</m:t>
        </m:r>
        <m:r>
          <m:t>p</m:t>
        </m:r>
        <m:r>
          <m:t>r</m:t>
        </m:r>
        <m:r>
          <m:t>o</m:t>
        </m:r>
        <m:r>
          <m:t>d</m:t>
        </m:r>
        <m:r>
          <m:t>u</m:t>
        </m:r>
        <m:r>
          <m:t>c</m:t>
        </m:r>
        <m:r>
          <m:t>t</m:t>
        </m:r>
        <m:r>
          <m:t>i</m:t>
        </m:r>
        <m:r>
          <m:t>v</m:t>
        </m:r>
        <m:r>
          <m:t>i</m:t>
        </m:r>
        <m:r>
          <m:t>t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l</m:t>
        </m:r>
        <m:r>
          <m:t>r</m:t>
        </m:r>
        <m:r>
          <m:t>e</m:t>
        </m:r>
        <m:r>
          <m:t>a</m:t>
        </m:r>
        <m:r>
          <m:t>d</m:t>
        </m:r>
        <m:r>
          <m:t>y</m:t>
        </m:r>
        <m:r>
          <m:rPr>
            <m:sty m:val="p"/>
          </m:rPr>
          <m:t>,</m:t>
        </m:r>
        <m:r>
          <m:t>o</m:t>
        </m:r>
        <m:r>
          <m:t>n</m:t>
        </m:r>
        <m:r>
          <m:t>t</m:t>
        </m:r>
        <m:r>
          <m:t>r</m:t>
        </m:r>
        <m:r>
          <m:t>a</m:t>
        </m:r>
        <m:r>
          <m:t>c</m:t>
        </m:r>
        <m:r>
          <m:t>k</m:t>
        </m:r>
        <m:r>
          <m:t>f</m:t>
        </m:r>
        <m:r>
          <m:t>o</m:t>
        </m:r>
        <m:r>
          <m:t>r</m:t>
        </m:r>
        <m:r>
          <m:t>t</m:t>
        </m:r>
        <m:r>
          <m:t>h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30 million</w:t>
      </w:r>
      <w:r>
        <w:t xml:space="preserve"> </w:t>
      </w:r>
      <w:r>
        <w:t xml:space="preserve">run-rate by year-end and the original</w:t>
      </w:r>
      <w:r>
        <w:t xml:space="preserve"> </w:t>
      </w:r>
      <w:r>
        <w:rPr>
          <w:b/>
          <w:bCs/>
        </w:rPr>
        <w:t xml:space="preserve">$60 million</w:t>
      </w:r>
      <w:r>
        <w:t xml:space="preserve"> </w:t>
      </w:r>
      <w:r>
        <w:t xml:space="preserve">target.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Wallula mill restructuring.</w:t>
      </w:r>
      <w:r>
        <w:t xml:space="preserve"> </w:t>
      </w:r>
      <w:r>
        <w:t xml:space="preserve">Q1 special items were dominated by</w:t>
      </w:r>
      <w:r>
        <w:t xml:space="preserve"> </w:t>
      </w:r>
      <w:r>
        <w:rPr>
          <w:b/>
          <w:bCs/>
        </w:rPr>
        <w:t xml:space="preserve">$53.3 million of charges</w:t>
      </w:r>
      <w:r>
        <w:t xml:space="preserve"> </w:t>
      </w:r>
      <w:r>
        <w:t xml:space="preserve">tied to discontinuing the No. 2 machine and kraft pulping facility at Wallula, WA — a move management says already helped cut fiber, power, and labor costs.</w:t>
      </w:r>
    </w:p>
    <w:p>
      <w:r>
        <w:pict>
          <v:rect style="width:0;height:1.5pt" o:hralign="center" o:hrstd="t" o:hr="t"/>
        </w:pict>
      </w:r>
    </w:p>
    <w:bookmarkEnd w:id="10"/>
    <w:bookmarkStart w:id="11" w:name="bridging-to-the-q2-guide-233share"/>
    <w:p>
      <w:pPr>
        <w:pStyle w:val="Heading2"/>
      </w:pPr>
      <w:r>
        <w:t xml:space="preserve">Bridging to the Q2 Guide ($2.33/share)</w:t>
      </w:r>
    </w:p>
    <w:p>
      <w:pPr>
        <w:pStyle w:val="FirstParagraph"/>
      </w:pPr>
      <w:r>
        <w:t xml:space="preserve">Management's Q2 outlook, laid out on the Q1 call, is the key scorecard for tomorrow's print: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Volume/mix:</w:t>
      </w:r>
      <w:r>
        <w:t xml:space="preserve"> </w:t>
      </w:r>
      <w:r>
        <w:t xml:space="preserve">Expect corrugated volume to increase with</w:t>
      </w:r>
      <w:r>
        <w:t xml:space="preserve"> </w:t>
      </w:r>
      <w:r>
        <w:rPr>
          <w:b/>
          <w:bCs/>
        </w:rPr>
        <w:t xml:space="preserve">one more shipping day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seasonal improvement in Greif</w:t>
      </w:r>
      <w:r>
        <w:t xml:space="preserve"> </w:t>
      </w:r>
      <w:r>
        <w:t xml:space="preserve">operations; pricing to move higher late in the quarter as the previously announced increases are implemented.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Cost headwinds:</w:t>
      </w:r>
      <w:r>
        <w:t xml:space="preserve"> </w:t>
      </w:r>
      <w:r>
        <w:t xml:space="preserve">Guidance explicitly called for</w:t>
      </w:r>
      <w:r>
        <w:t xml:space="preserve"> </w:t>
      </w:r>
      <w:r>
        <w:rPr>
          <w:b/>
          <w:bCs/>
        </w:rPr>
        <w:t xml:space="preserve">~</w:t>
      </w:r>
      <m:oMath>
        <m:r>
          <m:t>0.22</m:t>
        </m:r>
        <m:r>
          <m:t>o</m:t>
        </m:r>
        <m:r>
          <m:t>f</m:t>
        </m:r>
        <m:r>
          <m:t>i</m:t>
        </m:r>
        <m:r>
          <m:t>n</m:t>
        </m:r>
        <m:r>
          <m:t>c</m:t>
        </m:r>
        <m:r>
          <m:t>r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a</m:t>
        </m:r>
        <m:r>
          <m:t>l</m:t>
        </m:r>
        <m:r>
          <m:t>o</m:t>
        </m:r>
        <m:r>
          <m:t>u</m:t>
        </m:r>
        <m:r>
          <m:t>t</m:t>
        </m:r>
        <m:r>
          <m:t>a</m:t>
        </m:r>
        <m:r>
          <m:t>g</m:t>
        </m:r>
        <m:r>
          <m:t>e</m:t>
        </m:r>
        <m:r>
          <m:t>c</m:t>
        </m:r>
        <m:r>
          <m:t>o</m:t>
        </m:r>
        <m:r>
          <m:t>s</m:t>
        </m:r>
        <m:r>
          <m:t>t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f</m:t>
        </m:r>
        <m:r>
          <m:t>i</m:t>
        </m:r>
        <m:r>
          <m:t>v</m:t>
        </m:r>
        <m:r>
          <m:t>e</m:t>
        </m:r>
        <m:r>
          <m:t>p</m:t>
        </m:r>
        <m:r>
          <m:t>a</m:t>
        </m:r>
        <m:r>
          <m:t>c</m:t>
        </m:r>
        <m:r>
          <m:t>k</m:t>
        </m:r>
        <m:r>
          <m:t>a</m:t>
        </m:r>
        <m:r>
          <m:t>g</m:t>
        </m:r>
        <m:r>
          <m:t>i</m:t>
        </m:r>
        <m:r>
          <m:t>n</m:t>
        </m:r>
        <m:r>
          <m:t>g</m:t>
        </m:r>
        <m:r>
          <m:t>m</m:t>
        </m:r>
        <m:r>
          <m:t>i</m:t>
        </m:r>
        <m:r>
          <m:t>l</m:t>
        </m:r>
        <m:r>
          <m:t>l</m:t>
        </m:r>
        <m:r>
          <m:t>s</m:t>
        </m:r>
        <m:r>
          <m:t>u</m:t>
        </m:r>
        <m:r>
          <m:t>n</m:t>
        </m:r>
        <m:r>
          <m:t>d</m:t>
        </m:r>
        <m:r>
          <m:t>e</m:t>
        </m:r>
        <m:r>
          <m:t>r</m:t>
        </m:r>
        <m:r>
          <m:t>g</m:t>
        </m:r>
        <m:r>
          <m:t>o</m:t>
        </m:r>
        <m:r>
          <m:t>i</m:t>
        </m:r>
        <m:r>
          <m:t>n</m:t>
        </m:r>
        <m:r>
          <m:t>g</m:t>
        </m:r>
        <m:r>
          <m:t>m</m:t>
        </m:r>
        <m:r>
          <m:t>a</m:t>
        </m:r>
        <m:r>
          <m:t>i</m:t>
        </m:r>
        <m:r>
          <m:t>n</m:t>
        </m:r>
        <m:r>
          <m:t>t</m:t>
        </m:r>
        <m:r>
          <m:t>e</m:t>
        </m:r>
        <m:r>
          <m:t>n</m:t>
        </m:r>
        <m:r>
          <m:t>a</m:t>
        </m:r>
        <m:r>
          <m:t>n</m:t>
        </m:r>
        <m:r>
          <m:t>c</m:t>
        </m:r>
        <m:r>
          <m:t>e</m:t>
        </m:r>
        <m:r>
          <m:t>i</m:t>
        </m:r>
        <m:r>
          <m:t>n</m:t>
        </m:r>
        <m:r>
          <m:t>Q</m:t>
        </m:r>
        <m:r>
          <m:t>2</m:t>
        </m:r>
        <m:r>
          <m:rPr>
            <m:sty m:val="p"/>
          </m:rPr>
          <m:t>—</m:t>
        </m:r>
        <m:r>
          <m:t>T</m:t>
        </m:r>
        <m:r>
          <m:t>o</m:t>
        </m:r>
        <m:r>
          <m:t>m</m:t>
        </m:r>
        <m:r>
          <m:t>a</m:t>
        </m:r>
        <m:r>
          <m:t>h</m:t>
        </m:r>
        <m:r>
          <m:t>a</m:t>
        </m:r>
        <m:r>
          <m:t>w</m:t>
        </m:r>
        <m:r>
          <m:t>k</m:t>
        </m:r>
        <m:r>
          <m:rPr>
            <m:sty m:val="p"/>
          </m:rPr>
          <m:t>,</m:t>
        </m:r>
        <m:r>
          <m:t>F</m:t>
        </m:r>
        <m:r>
          <m:t>i</m:t>
        </m:r>
        <m:r>
          <m:t>l</m:t>
        </m:r>
        <m:r>
          <m:t>e</m:t>
        </m:r>
        <m:r>
          <m:t>r</m:t>
        </m:r>
        <m:r>
          <m:t>C</m:t>
        </m:r>
        <m:r>
          <m:t>i</m:t>
        </m:r>
        <m:r>
          <m:t>t</m:t>
        </m:r>
        <m:r>
          <m:t>y</m:t>
        </m:r>
        <m:r>
          <m:rPr>
            <m:sty m:val="p"/>
          </m:rPr>
          <m:t>,</m:t>
        </m:r>
        <m:r>
          <m:t>W</m:t>
        </m:r>
        <m:r>
          <m:t>a</m:t>
        </m:r>
        <m:r>
          <m:t>l</m:t>
        </m:r>
        <m:r>
          <m:t>l</m:t>
        </m:r>
        <m:r>
          <m:t>u</m:t>
        </m:r>
        <m:r>
          <m:t>l</m:t>
        </m:r>
        <m:r>
          <m:t>a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p</m:t>
        </m:r>
        <m:r>
          <m:t>l</m:t>
        </m:r>
        <m:r>
          <m:t>u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rPr>
          <w:b/>
          <w:bCs/>
        </w:rPr>
        <w:t xml:space="preserve">0.15/share</w:t>
      </w:r>
      <w:r>
        <w:t xml:space="preserve"> </w:t>
      </w:r>
      <w:r>
        <w:t xml:space="preserve">of higher freight/fiber/chemical costs sequentially, and</w:t>
      </w:r>
      <w:r>
        <w:t xml:space="preserve"> </w:t>
      </w:r>
      <w:r>
        <w:rPr>
          <w:b/>
          <w:bCs/>
        </w:rPr>
        <w:t xml:space="preserve">~$6 million</w:t>
      </w:r>
      <w:r>
        <w:t xml:space="preserve"> </w:t>
      </w:r>
      <w:r>
        <w:t xml:space="preserve">higher stock compensation expense due to a change in award-vesting timing that will persist through 2028.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Tax rate:</w:t>
      </w:r>
      <w:r>
        <w:t xml:space="preserve"> </w:t>
      </w:r>
      <w:r>
        <w:t xml:space="preserve">Expected to step up to</w:t>
      </w:r>
      <w:r>
        <w:t xml:space="preserve"> </w:t>
      </w:r>
      <w:r>
        <w:rPr>
          <w:b/>
          <w:bCs/>
        </w:rPr>
        <w:t xml:space="preserve">~26%</w:t>
      </w:r>
      <w:r>
        <w:t xml:space="preserve"> </w:t>
      </w:r>
      <w:r>
        <w:t xml:space="preserve">from Q1's favorable ~23%.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Pricing timing:</w:t>
      </w:r>
      <w:r>
        <w:t xml:space="preserve"> </w:t>
      </w:r>
      <w:r>
        <w:t xml:space="preserve">Management was explicit that the</w:t>
      </w:r>
      <w:r>
        <w:t xml:space="preserve"> </w:t>
      </w:r>
      <w:r>
        <w:rPr>
          <w:b/>
          <w:bCs/>
        </w:rPr>
        <w:t xml:space="preserve">net $50/ton</w:t>
      </w:r>
      <w:r>
        <w:t xml:space="preserve"> </w:t>
      </w:r>
      <w:r>
        <w:t xml:space="preserve">of containerboard price increases announced since January would see only partial benefit in Q2 ("some benefit... during May with normal implementation beginning in June"), with the</w:t>
      </w:r>
      <w:r>
        <w:t xml:space="preserve"> </w:t>
      </w:r>
      <w:r>
        <w:rPr>
          <w:b/>
          <w:bCs/>
        </w:rPr>
        <w:t xml:space="preserve">majority of price/cost benefit landing in Q3</w:t>
      </w:r>
      <w:r>
        <w:t xml:space="preserve">. This makes Q2 something of a transition quarter, with Q3 framed by management as the real inflection point.</w:t>
      </w:r>
    </w:p>
    <w:p>
      <w:pPr>
        <w:pStyle w:val="FirstParagraph"/>
      </w:pPr>
      <w:r>
        <w:t xml:space="preserve">Given this, the market will be watching less for a beat/miss on the modest print itself and more for</w:t>
      </w:r>
      <w:r>
        <w:t xml:space="preserve"> </w:t>
      </w:r>
      <w:r>
        <w:rPr>
          <w:b/>
          <w:bCs/>
        </w:rPr>
        <w:t xml:space="preserve">confirmation that the Q3 setup remains intact</w:t>
      </w:r>
      <w:r>
        <w:t xml:space="preserve"> </w:t>
      </w:r>
      <w:r>
        <w:t xml:space="preserve">— i.e., that price realization and Greif accretion are tracking as promised.</w:t>
      </w:r>
    </w:p>
    <w:p>
      <w:r>
        <w:pict>
          <v:rect style="width:0;height:1.5pt" o:hralign="center" o:hrstd="t" o:hr="t"/>
        </w:pict>
      </w:r>
    </w:p>
    <w:bookmarkEnd w:id="11"/>
    <w:bookmarkStart w:id="12" w:name="Xba3734a3375aee920194d101b1abe05ac5c8b31"/>
    <w:p>
      <w:pPr>
        <w:pStyle w:val="Heading2"/>
      </w:pPr>
      <w:r>
        <w:t xml:space="preserve">Industry Backdrop: A Genuinely Tight Containerboard Market</w:t>
      </w:r>
    </w:p>
    <w:p>
      <w:pPr>
        <w:pStyle w:val="FirstParagraph"/>
      </w:pPr>
      <w:r>
        <w:t xml:space="preserve">This has been an unusually active pricing year for containerboard. After a surprise</w:t>
      </w:r>
      <w:r>
        <w:t xml:space="preserve"> </w:t>
      </w:r>
      <m:oMath>
        <m:r>
          <m:t>20</m:t>
        </m:r>
        <m:r>
          <m:rPr>
            <m:sty m:val="p"/>
          </m:rPr>
          <m:t>/</m:t>
        </m:r>
        <m:r>
          <m:t>t</m:t>
        </m:r>
        <m:r>
          <m:t>o</m:t>
        </m:r>
        <m:r>
          <m:t>n</m:t>
        </m:r>
        <m:r>
          <m:t>d</m:t>
        </m:r>
        <m:r>
          <m:t>e</m:t>
        </m:r>
        <m:r>
          <m:t>c</m:t>
        </m:r>
        <m:r>
          <m:t>r</m:t>
        </m:r>
        <m:r>
          <m:t>e</m:t>
        </m:r>
        <m:r>
          <m:t>a</m:t>
        </m:r>
        <m:r>
          <m:t>s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F</m:t>
        </m:r>
        <m:r>
          <m:t>e</m:t>
        </m:r>
        <m:r>
          <m:t>b</m:t>
        </m:r>
        <m:r>
          <m:t>r</m:t>
        </m:r>
        <m:r>
          <m:t>u</m:t>
        </m:r>
        <m:r>
          <m:t>a</m:t>
        </m:r>
        <m:r>
          <m:t>r</m:t>
        </m:r>
        <m:r>
          <m:t>y</m:t>
        </m:r>
        <m:r>
          <m:rPr>
            <m:sty m:val="p"/>
          </m:rPr>
          <m:t>,</m:t>
        </m:r>
        <m:r>
          <m:t>p</m:t>
        </m:r>
        <m:r>
          <m:t>r</m:t>
        </m:r>
        <m:r>
          <m:t>o</m:t>
        </m:r>
        <m:r>
          <m:t>d</m:t>
        </m:r>
        <m:r>
          <m:t>u</m:t>
        </m:r>
        <m:r>
          <m:t>c</m:t>
        </m:r>
        <m:r>
          <m:t>e</m:t>
        </m:r>
        <m:r>
          <m:t>r</m:t>
        </m:r>
        <m:r>
          <m:t>s</m:t>
        </m:r>
        <m:r>
          <m:t>p</m:t>
        </m:r>
        <m:r>
          <m:t>u</m:t>
        </m:r>
        <m:r>
          <m:t>s</m:t>
        </m:r>
        <m:r>
          <m:t>h</m:t>
        </m:r>
        <m:r>
          <m:t>e</m:t>
        </m:r>
        <m:r>
          <m:t>d</m:t>
        </m:r>
        <m:r>
          <m:t>t</m:t>
        </m:r>
        <m:r>
          <m:t>h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40 increase in March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$30 in April</w:t>
      </w:r>
      <w:r>
        <w:t xml:space="preserve"> </w:t>
      </w:r>
      <w:r>
        <w:t xml:space="preserve">(net $50 for the "first wave"), then a</w:t>
      </w:r>
      <w:r>
        <w:t xml:space="preserve"> </w:t>
      </w:r>
      <w:r>
        <w:rPr>
          <w:b/>
          <w:bCs/>
        </w:rPr>
        <w:t xml:space="preserve">second round of hikes in June</w:t>
      </w:r>
      <w:r>
        <w:t xml:space="preserve"> </w:t>
      </w:r>
      <w:r>
        <w:t xml:space="preserve">that Fastmarkets RISI fully recognized — bringing the</w:t>
      </w:r>
      <w:r>
        <w:t xml:space="preserve"> </w:t>
      </w:r>
      <w:r>
        <w:rPr>
          <w:b/>
          <w:bCs/>
        </w:rPr>
        <w:t xml:space="preserve">net 2026 increase to $100/ton</w:t>
      </w:r>
      <w:r>
        <w:t xml:space="preserve">, an unusually fast cadence (two formal increases in four months versus the historical five-month spacing). Truist's Michael Roxland noted this was the first increase in years to be</w:t>
      </w:r>
      <w:r>
        <w:t xml:space="preserve"> </w:t>
      </w:r>
      <w:r>
        <w:rPr>
          <w:b/>
          <w:bCs/>
        </w:rPr>
        <w:t xml:space="preserve">fully implemented in the index in the targeted month</w:t>
      </w:r>
      <w:r>
        <w:t xml:space="preserve">, with mill order backlogs stretching to</w:t>
      </w:r>
      <w:r>
        <w:t xml:space="preserve"> </w:t>
      </w:r>
      <w:r>
        <w:rPr>
          <w:b/>
          <w:bCs/>
        </w:rPr>
        <w:t xml:space="preserve">five to eight weeks</w:t>
      </w:r>
      <w:r>
        <w:t xml:space="preserve"> </w:t>
      </w:r>
      <w:r>
        <w:t xml:space="preserve">versus 4.5–5.5 weeks in May — a signal of genuine tightness rather than just index mechanics.</w:t>
      </w:r>
    </w:p>
    <w:p>
      <w:pPr>
        <w:pStyle w:val="BodyText"/>
      </w:pPr>
      <w:r>
        <w:t xml:space="preserve">Behind this: producers (including PKG) shut down nearly</w:t>
      </w:r>
      <w:r>
        <w:t xml:space="preserve"> </w:t>
      </w:r>
      <w:r>
        <w:rPr>
          <w:b/>
          <w:bCs/>
        </w:rPr>
        <w:t xml:space="preserve">10% of North American containerboard capacity in 2025</w:t>
      </w:r>
      <w:r>
        <w:t xml:space="preserve">, an "unprecedented" one-year reduction, while input cost inflation (chemicals tied to Middle East conflict spillover, freight/diesel, OCC) has been running hot. On PKG specifically, CEO Mark Kowlzan has said the company is even</w:t>
      </w:r>
      <w:r>
        <w:t xml:space="preserve"> </w:t>
      </w:r>
      <w:r>
        <w:rPr>
          <w:b/>
          <w:bCs/>
        </w:rPr>
        <w:t xml:space="preserve">deferring/reducing export sales to rebuild domestic box-plant inventories</w:t>
      </w:r>
      <w:r>
        <w:t xml:space="preserve">, with demand "robust" and open-market supply "hard to find." That said, BofA's own channel checks describe underlying demand as still only</w:t>
      </w:r>
      <w:r>
        <w:t xml:space="preserve"> </w:t>
      </w:r>
      <w:r>
        <w:rPr>
          <w:b/>
          <w:bCs/>
        </w:rPr>
        <w:t xml:space="preserve">"flattish,"</w:t>
      </w:r>
      <w:r>
        <w:t xml:space="preserve"> </w:t>
      </w:r>
      <w:r>
        <w:t xml:space="preserve">with 2026 shipment growth tracking below the long-term 1.5% average — so the pricing story is more a</w:t>
      </w:r>
      <w:r>
        <w:t xml:space="preserve"> </w:t>
      </w:r>
      <w:r>
        <w:rPr>
          <w:b/>
          <w:bCs/>
        </w:rPr>
        <w:t xml:space="preserve">capacity-discipline story than a demand-boom story</w:t>
      </w:r>
      <w:r>
        <w:t xml:space="preserve">, an important nuance for the call.</w:t>
      </w:r>
    </w:p>
    <w:p>
      <w:r>
        <w:pict>
          <v:rect style="width:0;height:1.5pt" o:hralign="center" o:hrstd="t" o:hr="t"/>
        </w:pict>
      </w:r>
    </w:p>
    <w:bookmarkEnd w:id="12"/>
    <w:bookmarkStart w:id="13" w:name="key-watch-items-for-tomorrows-call"/>
    <w:p>
      <w:pPr>
        <w:pStyle w:val="Heading2"/>
      </w:pPr>
      <w:r>
        <w:t xml:space="preserve">Key Watch Items for Tomorrow's Call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Price/cost trajectory</w:t>
      </w:r>
      <w:r>
        <w:t xml:space="preserve"> </w:t>
      </w:r>
      <w:r>
        <w:t xml:space="preserve">— did June price increases realize as scheduled, and is management still confident in a Q3 inflection, especially with reports of customer resistance if input costs ease?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Greif accretion</w:t>
      </w:r>
      <w:r>
        <w:t xml:space="preserve"> </w:t>
      </w:r>
      <w:r>
        <w:t xml:space="preserve">— did the ~$0.10 sequential improvement materialize, and how is inventory optimization/freight synergy tracking toward the $60M target?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Q3/full-year framing</w:t>
      </w:r>
      <w:r>
        <w:t xml:space="preserve"> </w:t>
      </w:r>
      <w:r>
        <w:t xml:space="preserve">— any update to the $840–870M capex and</w:t>
      </w:r>
      <w:r>
        <w:t xml:space="preserve"> </w:t>
      </w:r>
      <w:r>
        <w:t xml:space="preserve">$700M D&amp;A guide, or the outage schedule ($</w:t>
      </w:r>
      <w:r>
        <w:t xml:space="preserve">0.36 in Q2, $0.31 in Q3, $0.64 in Q4 previously guided)?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Gas turbine capex program</w:t>
      </w:r>
      <w:r>
        <w:t xml:space="preserve"> </w:t>
      </w:r>
      <w:r>
        <w:t xml:space="preserve">— Board approved Jackson and Riverville projects; DeRidder was slated for approval at the May Board meeting — updates on scope/capital would matter for the capex trajectory and long-term energy cost independence (already 4 of 10 mills targeted to be grid-independent).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Input cost/tariff risk</w:t>
      </w:r>
      <w:r>
        <w:t xml:space="preserve"> </w:t>
      </w:r>
      <w:r>
        <w:t xml:space="preserve">— freight (diesel), chemicals, and recycled fiber costs have been running hot; recent US tariff actions on Canadian paper/wood imports are a fresh variable worth listening for commentary on.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Capital returns</w:t>
      </w:r>
      <w:r>
        <w:t xml:space="preserve"> </w:t>
      </w:r>
      <w:r>
        <w:t xml:space="preserve">— PKG had **</w:t>
      </w:r>
      <m:oMath>
        <m:r>
          <m:t>224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r</m:t>
        </m:r>
        <m:r>
          <m:t>e</m:t>
        </m:r>
        <m:r>
          <m:t>m</m:t>
        </m:r>
        <m:r>
          <m:t>a</m:t>
        </m:r>
        <m:r>
          <m:t>i</m:t>
        </m:r>
        <m:r>
          <m:t>n</m:t>
        </m:r>
        <m:r>
          <m:t>i</m:t>
        </m:r>
        <m:r>
          <m:t>n</m:t>
        </m:r>
        <m:r>
          <m:t>g</m:t>
        </m:r>
        <m:r>
          <m:t>b</m:t>
        </m:r>
        <m:r>
          <m:t>u</m:t>
        </m:r>
        <m:r>
          <m:t>y</m:t>
        </m:r>
        <m:r>
          <m:t>b</m:t>
        </m:r>
        <m:r>
          <m:t>a</m:t>
        </m:r>
        <m:r>
          <m:t>c</m:t>
        </m:r>
        <m:r>
          <m:t>k</m:t>
        </m:r>
        <m:r>
          <m:t>a</m:t>
        </m:r>
        <m:r>
          <m:t>u</m:t>
        </m:r>
        <m:r>
          <m:t>t</m:t>
        </m:r>
        <m:r>
          <m:t>h</m:t>
        </m:r>
        <m:r>
          <m:t>o</m:t>
        </m:r>
        <m:r>
          <m:t>r</m:t>
        </m:r>
        <m:r>
          <m:t>i</m:t>
        </m:r>
        <m:r>
          <m:t>z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a</m:t>
        </m:r>
        <m:r>
          <m:t>f</m:t>
        </m:r>
        <m:r>
          <m:t>t</m:t>
        </m:r>
        <m:r>
          <m:t>e</m:t>
        </m:r>
        <m:r>
          <m:t>r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i</m:t>
        </m:r>
        <m:r>
          <m:t>n</m:t>
        </m:r>
        <m:r>
          <m:t>g</m:t>
        </m:r>
        <m:r>
          <m:t>266</m:t>
        </m:r>
        <m:r>
          <m:rPr>
            <m:sty m:val="p"/>
          </m:rPr>
          <m:t>,</m:t>
        </m:r>
        <m:r>
          <m:t>000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s</m:t>
        </m:r>
        <m:r>
          <m:t>i</m:t>
        </m:r>
        <m:r>
          <m:t>n</m:t>
        </m:r>
        <m:r>
          <m:t>Q</m:t>
        </m:r>
        <m:r>
          <m:t>1</m:t>
        </m:r>
        <m:r>
          <m:t>a</m:t>
        </m:r>
        <m:r>
          <m:t>t</m:t>
        </m:r>
        <m:r>
          <m:t> </m:t>
        </m:r>
      </m:oMath>
      <w:r>
        <w:t xml:space="preserve">228.78; watch for pace of buybacks and the quarterly dividend (currently $1.25/share, ~2.2% yield).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Demand commentary by end market</w:t>
      </w:r>
      <w:r>
        <w:t xml:space="preserve"> </w:t>
      </w:r>
      <w:r>
        <w:t xml:space="preserve">— food &amp; beverage (largest corrugated end market) has been resilient despite GLP-1 concerns, with building products showing early signs of resurgence; any shift here matters for the "flattish" demand debate.</w:t>
      </w:r>
    </w:p>
    <w:p>
      <w:r>
        <w:pict>
          <v:rect style="width:0;height:1.5pt" o:hralign="center" o:hrstd="t" o:hr="t"/>
        </w:pict>
      </w:r>
    </w:p>
    <w:bookmarkEnd w:id="13"/>
    <w:bookmarkStart w:id="14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Q2 is likely to be viewed as a</w:t>
      </w:r>
      <w:r>
        <w:t xml:space="preserve"> </w:t>
      </w:r>
      <w:r>
        <w:rPr>
          <w:b/>
          <w:bCs/>
        </w:rPr>
        <w:t xml:space="preserve">transition/bridge quarter</w:t>
      </w:r>
      <w:r>
        <w:t xml:space="preserve"> </w:t>
      </w:r>
      <w:r>
        <w:t xml:space="preserve">— modest EPS growth (or even a slight y/y decline per consensus) weighed down by heavy maintenance outages, elevated stock comp, a higher tax rate, and input cost inflation, with the true payoff from 2026's aggressive containerboard price increases and full Greif synergy realization expected to show up in</w:t>
      </w:r>
      <w:r>
        <w:t xml:space="preserve"> </w:t>
      </w:r>
      <w:r>
        <w:rPr>
          <w:b/>
          <w:bCs/>
        </w:rPr>
        <w:t xml:space="preserve">Q3</w:t>
      </w:r>
      <w:r>
        <w:t xml:space="preserve">. The real test for the stock is less about beating the $2.33 guide and more about whether management</w:t>
      </w:r>
      <w:r>
        <w:t xml:space="preserve"> </w:t>
      </w:r>
      <w:r>
        <w:rPr>
          <w:b/>
          <w:bCs/>
        </w:rPr>
        <w:t xml:space="preserve">reaffirms the Q3 inflection</w:t>
      </w:r>
      <w:r>
        <w:t xml:space="preserve"> </w:t>
      </w:r>
      <w:r>
        <w:t xml:space="preserve">and provides confidence that capacity discipline across the industry — rather than a demand boom — can keep supporting price realization into year-end.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2026-07-22T01:07:09Z</dcterms:created>
  <dcterms:modified xsi:type="dcterms:W3CDTF">2026-07-22T01:07:09Z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