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kg-earnings-predictions--2026-07-22"/>
    <w:p>
      <w:pPr>
        <w:pStyle w:val="Heading1"/>
      </w:pPr>
      <w:r>
        <w:t xml:space="preserve">PKG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~$2.35 vs. cons $2.31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~$2.42B vs. cons $2.40B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Packaging adjusted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~21.9% vs. cons 21.6%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~$3.08 vs. cons $2.97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+4.3% (FOLLOW-THROUGH)</w:t>
            </w:r>
          </w:p>
        </w:tc>
        <w:tc>
          <w:tcPr/>
          <w:p>
            <w:pPr>
              <w:pStyle w:val="Compact"/>
            </w:pPr>
            <w:r>
              <w:t xml:space="preserve">Q3 adjusted EPS guidance of ~$3.08 vs. $2.97 consensus should lift second-half estimates as pricing realization, lower outage expense, and Greif accretion outweigh freight inflation; favorable out-period revisions support follow-through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2026-07-22T01:03:03Z</dcterms:created>
  <dcterms:modified xsi:type="dcterms:W3CDTF">2026-07-22T01:03:03Z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