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pkg-q2-2026-earnings-preview"/>
    <w:p>
      <w:pPr>
        <w:pStyle w:val="Heading1"/>
      </w:pPr>
      <w:r>
        <w:t xml:space="preserve">PKG Q2 2026 Earnings Preview</w:t>
      </w:r>
    </w:p>
    <w:p>
      <w:pPr>
        <w:pStyle w:val="BlockText"/>
      </w:pPr>
      <w:r>
        <w:rPr>
          <w:b/>
          <w:bCs/>
        </w:rPr>
        <w:t xml:space="preserve">Timing clarification:</w:t>
      </w:r>
      <w:r>
        <w:t xml:space="preserve"> </w:t>
      </w:r>
      <w:r>
        <w:t xml:space="preserve">Packaging Corporation of America will release Q2 results</w:t>
      </w:r>
      <w:r>
        <w:t xml:space="preserve"> </w:t>
      </w:r>
      <w:r>
        <w:rPr>
          <w:b/>
          <w:bCs/>
        </w:rPr>
        <w:t xml:space="preserve">after the market closes today, Wednesday, July 22, 2026</w:t>
      </w:r>
      <w:r>
        <w:t xml:space="preserve">. The earnings call is</w:t>
      </w:r>
      <w:r>
        <w:t xml:space="preserve"> </w:t>
      </w:r>
      <w:r>
        <w:rPr>
          <w:b/>
          <w:bCs/>
        </w:rPr>
        <w:t xml:space="preserve">tomorrow, Thursday, July 23, at 9:00 a.m. ET</w:t>
      </w:r>
      <w:r>
        <w:t xml:space="preserve">. (</w:t>
      </w:r>
      <w:hyperlink r:id="rId9">
        <w:r>
          <w:rPr>
            <w:rStyle w:val="Hyperlink"/>
          </w:rPr>
          <w:t xml:space="preserve">ir.packagingcorp.com</w:t>
        </w:r>
      </w:hyperlink>
      <w:r>
        <w:t xml:space="preserve">)</w:t>
      </w:r>
    </w:p>
    <w:bookmarkStart w:id="11" w:name="investment-setup"/>
    <w:p>
      <w:pPr>
        <w:pStyle w:val="Heading2"/>
      </w:pPr>
      <w:r>
        <w:t xml:space="preserve">Investment setup</w:t>
      </w:r>
    </w:p>
    <w:p>
      <w:pPr>
        <w:pStyle w:val="FirstParagraph"/>
      </w:pPr>
      <w:r>
        <w:t xml:space="preserve">The headline Q2 result should be relatively straightforward: management guided to</w:t>
      </w:r>
      <w:r>
        <w:t xml:space="preserve"> </w:t>
      </w:r>
      <w:r>
        <w:rPr>
          <w:b/>
          <w:bCs/>
        </w:rPr>
        <w:t xml:space="preserve">adjusted EPS of</w:t>
      </w:r>
      <w:r>
        <w:rPr>
          <w:b/>
          <w:bCs/>
        </w:rPr>
        <w:t xml:space="preserve"> </w:t>
      </w:r>
      <m:oMath>
        <m:r>
          <m:t>2.33</m:t>
        </m:r>
        <m:r>
          <m:rPr>
            <m:sty m:val="p"/>
          </m:rPr>
          <m:t>*</m:t>
        </m:r>
        <m:r>
          <m:rPr>
            <m:sty m:val="p"/>
          </m:rPr>
          <m:t>*</m:t>
        </m:r>
        <m:r>
          <m:rPr>
            <m:sty m:val="p"/>
          </m:rPr>
          <m:t>,</m:t>
        </m:r>
        <m:r>
          <m:t>w</m:t>
        </m:r>
        <m:r>
          <m:t>h</m:t>
        </m:r>
        <m:r>
          <m:t>i</m:t>
        </m:r>
        <m:r>
          <m:t>l</m:t>
        </m:r>
        <m:r>
          <m:t>e</m:t>
        </m:r>
        <m:r>
          <m:t>c</m:t>
        </m:r>
        <m:r>
          <m:t>u</m:t>
        </m:r>
        <m:r>
          <m:t>r</m:t>
        </m:r>
        <m:r>
          <m:t>r</m:t>
        </m:r>
        <m:r>
          <m:t>e</m:t>
        </m:r>
        <m:r>
          <m:t>n</m:t>
        </m:r>
        <m:r>
          <m:t>t</m:t>
        </m:r>
        <m:r>
          <m:t>p</m:t>
        </m:r>
        <m:r>
          <m:t>u</m:t>
        </m:r>
        <m:r>
          <m:t>b</m:t>
        </m:r>
        <m:r>
          <m:t>l</m:t>
        </m:r>
        <m:r>
          <m:t>i</m:t>
        </m:r>
        <m:r>
          <m:t>s</m:t>
        </m:r>
        <m:r>
          <m:t>h</m:t>
        </m:r>
        <m:r>
          <m:t>e</m:t>
        </m:r>
        <m:r>
          <m:t>d</m:t>
        </m:r>
        <m:r>
          <m:t>e</m:t>
        </m:r>
        <m:r>
          <m:t>s</m:t>
        </m:r>
        <m:r>
          <m:t>t</m:t>
        </m:r>
        <m:r>
          <m:t>i</m:t>
        </m:r>
        <m:r>
          <m:t>m</m:t>
        </m:r>
        <m:r>
          <m:t>a</m:t>
        </m:r>
        <m:r>
          <m:t>t</m:t>
        </m:r>
        <m:r>
          <m:t>e</m:t>
        </m:r>
        <m:r>
          <m:t>s</m:t>
        </m:r>
        <m:r>
          <m:t>c</m:t>
        </m:r>
        <m:r>
          <m:t>l</m:t>
        </m:r>
        <m:r>
          <m:t>u</m:t>
        </m:r>
        <m:r>
          <m:t>s</m:t>
        </m:r>
        <m:r>
          <m:t>t</m:t>
        </m:r>
        <m:r>
          <m:t>e</m:t>
        </m:r>
        <m:r>
          <m:t>r</m:t>
        </m:r>
        <m:r>
          <m:t>a</m:t>
        </m:r>
        <m:r>
          <m:t>r</m:t>
        </m:r>
        <m:r>
          <m:t>o</m:t>
        </m:r>
        <m:r>
          <m:t>u</m:t>
        </m:r>
        <m:r>
          <m:t>n</m:t>
        </m:r>
        <m:r>
          <m:t>d</m:t>
        </m:r>
        <m:r>
          <m:rPr>
            <m:sty m:val="p"/>
          </m:rPr>
          <m:t>*</m:t>
        </m:r>
        <m:r>
          <m:rPr>
            <m:sty m:val="p"/>
          </m:rPr>
          <m:t>*</m:t>
        </m:r>
      </m:oMath>
      <w:r>
        <w:rPr>
          <w:b/>
          <w:bCs/>
        </w:rPr>
        <w:t xml:space="preserve">2.31–</w:t>
      </w:r>
      <m:oMath>
        <m:r>
          <m:t>2.35</m:t>
        </m:r>
        <m:r>
          <m:rPr>
            <m:sty m:val="p"/>
          </m:rPr>
          <m:t>*</m:t>
        </m:r>
        <m:r>
          <m:rPr>
            <m:sty m:val="p"/>
          </m:rPr>
          <m:t>*</m:t>
        </m:r>
        <m:r>
          <m:t>a</m:t>
        </m:r>
        <m:r>
          <m:t>n</m:t>
        </m:r>
        <m:r>
          <m:t>d</m:t>
        </m:r>
        <m:r>
          <m:t>a</m:t>
        </m:r>
        <m:r>
          <m:t>p</m:t>
        </m:r>
        <m:r>
          <m:t>p</m:t>
        </m:r>
        <m:r>
          <m:t>r</m:t>
        </m:r>
        <m:r>
          <m:t>o</m:t>
        </m:r>
        <m:r>
          <m:t>x</m:t>
        </m:r>
        <m:r>
          <m:t>i</m:t>
        </m:r>
        <m:r>
          <m:t>m</m:t>
        </m:r>
        <m:r>
          <m:t>a</m:t>
        </m:r>
        <m:r>
          <m:t>t</m:t>
        </m:r>
        <m:r>
          <m:t>e</m:t>
        </m:r>
        <m:r>
          <m:t>l</m:t>
        </m:r>
        <m:r>
          <m:t>y</m:t>
        </m:r>
        <m:r>
          <m:rPr>
            <m:sty m:val="p"/>
          </m:rPr>
          <m:t>*</m:t>
        </m:r>
        <m:r>
          <m:rPr>
            <m:sty m:val="p"/>
          </m:rPr>
          <m:t>*</m:t>
        </m:r>
      </m:oMath>
      <w:r>
        <w:rPr>
          <w:b/>
          <w:bCs/>
        </w:rPr>
        <w:t xml:space="preserve">2.5 billion of revenue</w:t>
      </w:r>
      <w:r>
        <w:t xml:space="preserve">. (</w:t>
      </w:r>
      <w:hyperlink r:id="rId10">
        <w:r>
          <w:rPr>
            <w:rStyle w:val="Hyperlink"/>
          </w:rPr>
          <w:t xml:space="preserve">stage.zacks.com</w:t>
        </w:r>
      </w:hyperlink>
      <w:r>
        <w:t xml:space="preserve">)</w:t>
      </w:r>
    </w:p>
    <w:p>
      <w:pPr>
        <w:pStyle w:val="BodyText"/>
      </w:pPr>
      <w:r>
        <w:t xml:space="preserve">The more important issue is the</w:t>
      </w:r>
      <w:r>
        <w:t xml:space="preserve"> </w:t>
      </w:r>
      <w:r>
        <w:rPr>
          <w:b/>
          <w:bCs/>
        </w:rPr>
        <w:t xml:space="preserve">Q3 earnings trajectory</w:t>
      </w:r>
      <w:r>
        <w:t xml:space="preserve">. Q2 carries heavy maintenance outages, elevated freight and recycled-fiber costs, and only a partial benefit from containerboard price increases. Q3 should have lower outage expense, broader price realization and a larger contribution from the acquired Greif operations. The stock’s reaction will therefore probably depend more on management’s Q3 guidance and price-cost commentary than on whether Q2 EPS beats or misses by a few cents.</w:t>
      </w:r>
    </w:p>
    <w:bookmarkEnd w:id="11"/>
    <w:bookmarkStart w:id="13" w:name="numbers-to-anchor-on"/>
    <w:p>
      <w:pPr>
        <w:pStyle w:val="Heading2"/>
      </w:pPr>
      <w:r>
        <w:t xml:space="preserve">Numbers to anchor on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Q1 2026 actual</w:t>
            </w:r>
          </w:p>
        </w:tc>
        <w:tc>
          <w:tcPr/>
          <w:p>
            <w:pPr>
              <w:pStyle w:val="Compact"/>
              <w:jc w:val="right"/>
            </w:pPr>
            <w:r>
              <w:t xml:space="preserve">Q2 reference point</w:t>
            </w:r>
          </w:p>
        </w:tc>
      </w:tr>
      <w:tr>
        <w:tc>
          <w:tcPr/>
          <w:p>
            <w:pPr>
              <w:pStyle w:val="Compact"/>
            </w:pPr>
            <w:r>
              <w:t xml:space="preserve">Adjusted EPS</w:t>
            </w:r>
          </w:p>
        </w:tc>
        <w:tc>
          <w:tcPr/>
          <w:p>
            <w:pPr>
              <w:pStyle w:val="Compact"/>
              <w:jc w:val="right"/>
            </w:pPr>
            <w:r>
              <w:t xml:space="preserve">$2.40</w:t>
            </w:r>
          </w:p>
        </w:tc>
        <w:tc>
          <w:tcPr/>
          <w:p>
            <w:pPr>
              <w:pStyle w:val="Compact"/>
              <w:jc w:val="right"/>
            </w:pPr>
            <w:r>
              <w:t xml:space="preserve">Company guidance:</w:t>
            </w:r>
            <w:r>
              <w:t xml:space="preserve"> </w:t>
            </w:r>
            <w:r>
              <w:rPr>
                <w:b/>
                <w:bCs/>
              </w:rPr>
              <w:t xml:space="preserve">$2.33</w:t>
            </w:r>
          </w:p>
        </w:tc>
      </w:tr>
      <w:tr>
        <w:tc>
          <w:tcPr/>
          <w:p>
            <w:pPr>
              <w:pStyle w:val="Compact"/>
            </w:pPr>
            <w:r>
              <w:t xml:space="preserve">Net sales</w:t>
            </w:r>
          </w:p>
        </w:tc>
        <w:tc>
          <w:tcPr/>
          <w:p>
            <w:pPr>
              <w:pStyle w:val="Compact"/>
              <w:jc w:val="right"/>
            </w:pPr>
            <w:r>
              <w:t xml:space="preserve">$2.37B</w:t>
            </w:r>
          </w:p>
        </w:tc>
        <w:tc>
          <w:tcPr/>
          <w:p>
            <w:pPr>
              <w:pStyle w:val="Compact"/>
              <w:jc w:val="right"/>
            </w:pPr>
            <w:r>
              <w:t xml:space="preserve">Street estimates: roughly</w:t>
            </w:r>
            <w:r>
              <w:t xml:space="preserve"> </w:t>
            </w:r>
            <w:r>
              <w:rPr>
                <w:b/>
                <w:bCs/>
              </w:rPr>
              <w:t xml:space="preserve">$2.5B</w:t>
            </w:r>
          </w:p>
        </w:tc>
      </w:tr>
      <w:tr>
        <w:tc>
          <w:tcPr/>
          <w:p>
            <w:pPr>
              <w:pStyle w:val="Compact"/>
            </w:pPr>
            <w:r>
              <w:t xml:space="preserve">Adjusted EBITDA</w:t>
            </w:r>
          </w:p>
        </w:tc>
        <w:tc>
          <w:tcPr/>
          <w:p>
            <w:pPr>
              <w:pStyle w:val="Compact"/>
              <w:jc w:val="right"/>
            </w:pPr>
            <w:r>
              <w:t xml:space="preserve">$485.5M</w:t>
            </w:r>
          </w:p>
        </w:tc>
        <w:tc>
          <w:tcPr/>
          <w:p>
            <w:pPr>
              <w:pStyle w:val="Compact"/>
              <w:jc w:val="right"/>
            </w:pPr>
            <w:r>
              <w:t xml:space="preserve">No formal company target</w:t>
            </w:r>
          </w:p>
        </w:tc>
      </w:tr>
      <w:tr>
        <w:tc>
          <w:tcPr/>
          <w:p>
            <w:pPr>
              <w:pStyle w:val="Compact"/>
            </w:pPr>
            <w:r>
              <w:t xml:space="preserve">Packaging adjusted EBITDA</w:t>
            </w:r>
          </w:p>
        </w:tc>
        <w:tc>
          <w:tcPr/>
          <w:p>
            <w:pPr>
              <w:pStyle w:val="Compact"/>
              <w:jc w:val="right"/>
            </w:pPr>
            <w:r>
              <w:t xml:space="preserve">$481.8M</w:t>
            </w:r>
          </w:p>
        </w:tc>
        <w:tc>
          <w:tcPr/>
          <w:p>
            <w:pPr>
              <w:pStyle w:val="Compact"/>
              <w:jc w:val="right"/>
            </w:pPr>
            <w:r>
              <w:t xml:space="preserve">Margin and sequential trend are key</w:t>
            </w:r>
          </w:p>
        </w:tc>
      </w:tr>
      <w:tr>
        <w:tc>
          <w:tcPr/>
          <w:p>
            <w:pPr>
              <w:pStyle w:val="Compact"/>
            </w:pPr>
            <w:r>
              <w:t xml:space="preserve">Packaging adjusted EBITDA margin</w:t>
            </w:r>
          </w:p>
        </w:tc>
        <w:tc>
          <w:tcPr/>
          <w:p>
            <w:pPr>
              <w:pStyle w:val="Compact"/>
              <w:jc w:val="right"/>
            </w:pPr>
            <w:r>
              <w:t xml:space="preserve">22.0%</w:t>
            </w:r>
          </w:p>
        </w:tc>
        <w:tc>
          <w:tcPr/>
          <w:p>
            <w:pPr>
              <w:pStyle w:val="Compact"/>
              <w:jc w:val="right"/>
            </w:pPr>
            <w:r>
              <w:t xml:space="preserve">Watch ability to defend ~22% despite outages</w:t>
            </w:r>
          </w:p>
        </w:tc>
      </w:tr>
      <w:tr>
        <w:tc>
          <w:tcPr/>
          <w:p>
            <w:pPr>
              <w:pStyle w:val="Compact"/>
            </w:pPr>
            <w:r>
              <w:t xml:space="preserve">Corrugated shipments/day</w:t>
            </w:r>
          </w:p>
        </w:tc>
        <w:tc>
          <w:tcPr/>
          <w:p>
            <w:pPr>
              <w:pStyle w:val="Compact"/>
              <w:jc w:val="right"/>
            </w:pPr>
            <w:r>
              <w:t xml:space="preserve">Legacy +2.8% YoY; total +21.8%</w:t>
            </w:r>
          </w:p>
        </w:tc>
        <w:tc>
          <w:tcPr/>
          <w:p>
            <w:pPr>
              <w:pStyle w:val="Compact"/>
              <w:jc w:val="right"/>
            </w:pPr>
            <w:r>
              <w:t xml:space="preserve">June update indicated considerably stronger growth</w:t>
            </w:r>
          </w:p>
        </w:tc>
      </w:tr>
    </w:tbl>
    <w:p>
      <w:pPr>
        <w:pStyle w:val="BodyText"/>
      </w:pPr>
      <w:r>
        <w:t xml:space="preserve">Q1 adjusted EPS exceeded the company’s $2.20 guidance by $0.20, aided by stronger legacy packaging volume and mix, favorable operating costs and a lower tax rate. Management nevertheless forecast lower sequential Q2 EPS because of substantially higher outage expense, inflation in freight, fiber and chemicals, higher employee costs and a higher tax rate. (</w:t>
      </w:r>
      <w:hyperlink r:id="rId12">
        <w:r>
          <w:rPr>
            <w:rStyle w:val="Hyperlink"/>
          </w:rPr>
          <w:t xml:space="preserve">ir.packagingcorp.com</w:t>
        </w:r>
      </w:hyperlink>
      <w:r>
        <w:t xml:space="preserve">)</w:t>
      </w:r>
    </w:p>
    <w:bookmarkEnd w:id="13"/>
    <w:bookmarkStart w:id="16" w:name="X5f68b34317b1366fea61fee304539133320fe55"/>
    <w:p>
      <w:pPr>
        <w:pStyle w:val="Heading2"/>
      </w:pPr>
      <w:r>
        <w:t xml:space="preserve">Why Q2 demand may be better than the original guide assumed</w:t>
      </w:r>
    </w:p>
    <w:p>
      <w:pPr>
        <w:pStyle w:val="FirstParagraph"/>
      </w:pPr>
      <w:r>
        <w:t xml:space="preserve">PKG gave investors a meaningful intra-quarter update in June:</w:t>
      </w:r>
    </w:p>
    <w:p>
      <w:pPr>
        <w:pStyle w:val="Compact"/>
        <w:numPr>
          <w:ilvl w:val="0"/>
          <w:numId w:val="1001"/>
        </w:numPr>
      </w:pPr>
      <w:r>
        <w:t xml:space="preserve">Total Q2 corrugated volume per day was up</w:t>
      </w:r>
      <w:r>
        <w:t xml:space="preserve"> </w:t>
      </w:r>
      <w:r>
        <w:rPr>
          <w:b/>
          <w:bCs/>
        </w:rPr>
        <w:t xml:space="preserve">24% year over year through May</w:t>
      </w:r>
      <w:r>
        <w:t xml:space="preserve">.</w:t>
      </w:r>
    </w:p>
    <w:p>
      <w:pPr>
        <w:pStyle w:val="Compact"/>
        <w:numPr>
          <w:ilvl w:val="0"/>
          <w:numId w:val="1001"/>
        </w:numPr>
      </w:pPr>
      <w:r>
        <w:t xml:space="preserve">Legacy PCA volume per day increased by more than</w:t>
      </w:r>
      <w:r>
        <w:t xml:space="preserve"> </w:t>
      </w:r>
      <w:r>
        <w:rPr>
          <w:b/>
          <w:bCs/>
        </w:rPr>
        <w:t xml:space="preserve">4.5% in April</w:t>
      </w:r>
      <w:r>
        <w:t xml:space="preserve"> </w:t>
      </w:r>
      <w:r>
        <w:t xml:space="preserve">and more than</w:t>
      </w:r>
      <w:r>
        <w:t xml:space="preserve"> </w:t>
      </w:r>
      <w:r>
        <w:rPr>
          <w:b/>
          <w:bCs/>
        </w:rPr>
        <w:t xml:space="preserve">3.5% in May</w:t>
      </w:r>
      <w:r>
        <w:t xml:space="preserve">.</w:t>
      </w:r>
    </w:p>
    <w:p>
      <w:pPr>
        <w:pStyle w:val="Compact"/>
        <w:numPr>
          <w:ilvl w:val="0"/>
          <w:numId w:val="1001"/>
        </w:numPr>
      </w:pPr>
      <w:r>
        <w:t xml:space="preserve">Bookings remained strong through the first week of June.</w:t>
      </w:r>
    </w:p>
    <w:p>
      <w:pPr>
        <w:pStyle w:val="Compact"/>
        <w:numPr>
          <w:ilvl w:val="0"/>
          <w:numId w:val="1001"/>
        </w:numPr>
      </w:pPr>
      <w:r>
        <w:t xml:space="preserve">Higher-than-expected volume and other operating favorability were expected to offset most of the incremental freight and recycled-fiber pressure.</w:t>
      </w:r>
    </w:p>
    <w:p>
      <w:pPr>
        <w:pStyle w:val="Compact"/>
        <w:numPr>
          <w:ilvl w:val="0"/>
          <w:numId w:val="1001"/>
        </w:numPr>
      </w:pPr>
      <w:r>
        <w:t xml:space="preserve">The acquired Greif operations were performing in line with forecast through May and were still expected to be accretive in Q2. (</w:t>
      </w:r>
      <w:hyperlink r:id="rId14">
        <w:r>
          <w:rPr>
            <w:rStyle w:val="Hyperlink"/>
          </w:rPr>
          <w:t xml:space="preserve">ir.packagingcorp.com</w:t>
        </w:r>
      </w:hyperlink>
      <w:r>
        <w:t xml:space="preserve">)</w:t>
      </w:r>
    </w:p>
    <w:p>
      <w:pPr>
        <w:pStyle w:val="FirstParagraph"/>
      </w:pPr>
      <w:r>
        <w:t xml:space="preserve">That update substantially reduced the demand risk surrounding the quarter. PCA is also clearly outperforming the broader market: in Q1, legacy shipments per day grew 2.8% even as reported industry shipments per workday declined 0.3%. (</w:t>
      </w:r>
      <w:hyperlink r:id="rId15">
        <w:r>
          <w:rPr>
            <w:rStyle w:val="Hyperlink"/>
          </w:rPr>
          <w:t xml:space="preserve">ir.packagingcorp.com</w:t>
        </w:r>
      </w:hyperlink>
      <w:r>
        <w:t xml:space="preserve">)</w:t>
      </w:r>
    </w:p>
    <w:p>
      <w:pPr>
        <w:pStyle w:val="BodyText"/>
      </w:pPr>
      <w:r>
        <w:t xml:space="preserve">The question is whether momentum held through June and into July. Investors should listen for:</w:t>
      </w:r>
    </w:p>
    <w:p>
      <w:pPr>
        <w:pStyle w:val="Compact"/>
        <w:numPr>
          <w:ilvl w:val="0"/>
          <w:numId w:val="1002"/>
        </w:numPr>
      </w:pPr>
      <w:r>
        <w:t xml:space="preserve">June legacy shipment growth;</w:t>
      </w:r>
    </w:p>
    <w:p>
      <w:pPr>
        <w:pStyle w:val="Compact"/>
        <w:numPr>
          <w:ilvl w:val="0"/>
          <w:numId w:val="1002"/>
        </w:numPr>
      </w:pPr>
      <w:r>
        <w:t xml:space="preserve">July bookings and billings;</w:t>
      </w:r>
    </w:p>
    <w:p>
      <w:pPr>
        <w:pStyle w:val="Compact"/>
        <w:numPr>
          <w:ilvl w:val="0"/>
          <w:numId w:val="1002"/>
        </w:numPr>
      </w:pPr>
      <w:r>
        <w:t xml:space="preserve">any evidence of customer inventory restocking or pre-buying;</w:t>
      </w:r>
    </w:p>
    <w:p>
      <w:pPr>
        <w:pStyle w:val="Compact"/>
        <w:numPr>
          <w:ilvl w:val="0"/>
          <w:numId w:val="1002"/>
        </w:numPr>
      </w:pPr>
      <w:r>
        <w:t xml:space="preserve">performance by end market, particularly food and beverage, building products and industrial customers; and</w:t>
      </w:r>
    </w:p>
    <w:p>
      <w:pPr>
        <w:pStyle w:val="Compact"/>
        <w:numPr>
          <w:ilvl w:val="0"/>
          <w:numId w:val="1002"/>
        </w:numPr>
      </w:pPr>
      <w:r>
        <w:t xml:space="preserve">whether management continues to expect year-over-year and seasonal volume growth during the second half.</w:t>
      </w:r>
    </w:p>
    <w:bookmarkEnd w:id="16"/>
    <w:bookmarkStart w:id="19" w:name="the-q2-earnings-bridge"/>
    <w:p>
      <w:pPr>
        <w:pStyle w:val="Heading2"/>
      </w:pPr>
      <w:r>
        <w:t xml:space="preserve">The Q2 earnings bridge</w:t>
      </w:r>
    </w:p>
    <w:bookmarkStart w:id="17" w:name="positive-factors"/>
    <w:p>
      <w:pPr>
        <w:pStyle w:val="Heading3"/>
      </w:pPr>
      <w:r>
        <w:t xml:space="preserve">Positive factors</w:t>
      </w:r>
    </w:p>
    <w:p>
      <w:pPr>
        <w:pStyle w:val="FirstParagraph"/>
      </w:pPr>
      <w:r>
        <w:rPr>
          <w:b/>
          <w:bCs/>
        </w:rPr>
        <w:t xml:space="preserve">1. Strong legacy box demand</w:t>
      </w:r>
    </w:p>
    <w:p>
      <w:pPr>
        <w:pStyle w:val="BodyText"/>
      </w:pPr>
      <w:r>
        <w:t xml:space="preserve">Legacy shipments were already running above the assumptions embedded in the original guide. Given PKG’s high integration rate, additional corrugated demand generally supports mill utilization and operating leverage—provided the company has enough containerboard available.</w:t>
      </w:r>
    </w:p>
    <w:p>
      <w:pPr>
        <w:pStyle w:val="BodyText"/>
      </w:pPr>
      <w:r>
        <w:rPr>
          <w:b/>
          <w:bCs/>
        </w:rPr>
        <w:t xml:space="preserve">2. Initial realization of the first price increase</w:t>
      </w:r>
    </w:p>
    <w:p>
      <w:pPr>
        <w:pStyle w:val="BodyText"/>
      </w:pPr>
      <w:r>
        <w:t xml:space="preserve">PKG entered Q2 implementing a net</w:t>
      </w:r>
      <w:r>
        <w:t xml:space="preserve"> </w:t>
      </w:r>
      <w:r>
        <w:rPr>
          <w:b/>
          <w:bCs/>
        </w:rPr>
        <w:t xml:space="preserve">$50-per-ton containerboard increase</w:t>
      </w:r>
      <w:r>
        <w:t xml:space="preserve">. The June presentation said pricing was on forecast through May, with meaningful corrugated realization beginning in June and the remainder expected in Q3. (</w:t>
      </w:r>
      <w:hyperlink r:id="rId14">
        <w:r>
          <w:rPr>
            <w:rStyle w:val="Hyperlink"/>
          </w:rPr>
          <w:t xml:space="preserve">ir.packagingcorp.com</w:t>
        </w:r>
      </w:hyperlink>
      <w:r>
        <w:t xml:space="preserve">)</w:t>
      </w:r>
    </w:p>
    <w:p>
      <w:pPr>
        <w:pStyle w:val="BodyText"/>
      </w:pPr>
      <w:r>
        <w:t xml:space="preserve">Q2 will therefore contain only a partial benefit. The more significant earnings impact should appear in Q3.</w:t>
      </w:r>
    </w:p>
    <w:p>
      <w:pPr>
        <w:pStyle w:val="BodyText"/>
      </w:pPr>
      <w:r>
        <w:rPr>
          <w:b/>
          <w:bCs/>
        </w:rPr>
        <w:t xml:space="preserve">3. Greif turning accretive</w:t>
      </w:r>
    </w:p>
    <w:p>
      <w:pPr>
        <w:pStyle w:val="BodyText"/>
      </w:pPr>
      <w:r>
        <w:t xml:space="preserve">The acquired Greif containerboard operations reduced Q1 EPS by approximately</w:t>
      </w:r>
      <w:r>
        <w:t xml:space="preserve"> </w:t>
      </w:r>
      <m:oMath>
        <m:r>
          <m:t>0.06</m:t>
        </m:r>
        <m:r>
          <m:rPr>
            <m:sty m:val="p"/>
          </m:rPr>
          <m:t>,</m:t>
        </m:r>
        <m:r>
          <m:t>r</m:t>
        </m:r>
        <m:r>
          <m:t>e</m:t>
        </m:r>
        <m:r>
          <m:t>f</m:t>
        </m:r>
        <m:r>
          <m:t>l</m:t>
        </m:r>
        <m:r>
          <m:t>e</m:t>
        </m:r>
        <m:r>
          <m:t>c</m:t>
        </m:r>
        <m:r>
          <m:t>t</m:t>
        </m:r>
        <m:r>
          <m:t>i</m:t>
        </m:r>
        <m:r>
          <m:t>n</m:t>
        </m:r>
        <m:r>
          <m:t>g</m:t>
        </m:r>
        <m:r>
          <m:t>w</m:t>
        </m:r>
        <m:r>
          <m:t>i</m:t>
        </m:r>
        <m:r>
          <m:t>n</m:t>
        </m:r>
        <m:r>
          <m:t>t</m:t>
        </m:r>
        <m:r>
          <m:t>e</m:t>
        </m:r>
        <m:r>
          <m:t>r</m:t>
        </m:r>
        <m:r>
          <m:rPr>
            <m:sty m:val="p"/>
          </m:rPr>
          <m:t>−</m:t>
        </m:r>
        <m:r>
          <m:t>w</m:t>
        </m:r>
        <m:r>
          <m:t>e</m:t>
        </m:r>
        <m:r>
          <m:t>a</m:t>
        </m:r>
        <m:r>
          <m:t>t</m:t>
        </m:r>
        <m:r>
          <m:t>h</m:t>
        </m:r>
        <m:r>
          <m:t>e</m:t>
        </m:r>
        <m:r>
          <m:t>r</m:t>
        </m:r>
        <m:r>
          <m:t>d</m:t>
        </m:r>
        <m:r>
          <m:t>i</m:t>
        </m:r>
        <m:r>
          <m:t>s</m:t>
        </m:r>
        <m:r>
          <m:t>r</m:t>
        </m:r>
        <m:r>
          <m:t>u</m:t>
        </m:r>
        <m:r>
          <m:t>p</m:t>
        </m:r>
        <m:r>
          <m:t>t</m:t>
        </m:r>
        <m:r>
          <m:t>i</m:t>
        </m:r>
        <m:r>
          <m:t>o</m:t>
        </m:r>
        <m:r>
          <m:t>n</m:t>
        </m:r>
        <m:r>
          <m:rPr>
            <m:sty m:val="p"/>
          </m:rPr>
          <m:t>,</m:t>
        </m:r>
        <m:r>
          <m:t>w</m:t>
        </m:r>
        <m:r>
          <m:t>e</m:t>
        </m:r>
        <m:r>
          <m:t>a</m:t>
        </m:r>
        <m:r>
          <m:t>k</m:t>
        </m:r>
        <m:r>
          <m:t>s</m:t>
        </m:r>
        <m:r>
          <m:t>e</m:t>
        </m:r>
        <m:r>
          <m:t>a</m:t>
        </m:r>
        <m:r>
          <m:t>s</m:t>
        </m:r>
        <m:r>
          <m:t>o</m:t>
        </m:r>
        <m:r>
          <m:t>n</m:t>
        </m:r>
        <m:r>
          <m:t>a</m:t>
        </m:r>
        <m:r>
          <m:t>l</m:t>
        </m:r>
        <m:r>
          <m:t>m</m:t>
        </m:r>
        <m:r>
          <m:t>i</m:t>
        </m:r>
        <m:r>
          <m:t>x</m:t>
        </m:r>
        <m:r>
          <m:rPr>
            <m:sty m:val="p"/>
          </m:rPr>
          <m:t>,</m:t>
        </m:r>
        <m:r>
          <m:t>f</m:t>
        </m:r>
        <m:r>
          <m:t>r</m:t>
        </m:r>
        <m:r>
          <m:t>e</m:t>
        </m:r>
        <m:r>
          <m:t>i</m:t>
        </m:r>
        <m:r>
          <m:t>g</m:t>
        </m:r>
        <m:r>
          <m:t>h</m:t>
        </m:r>
        <m:r>
          <m:t>t</m:t>
        </m:r>
        <m:r>
          <m:t>a</m:t>
        </m:r>
        <m:r>
          <m:t>n</m:t>
        </m:r>
        <m:r>
          <m:t>d</m:t>
        </m:r>
        <m:r>
          <m:t>r</m:t>
        </m:r>
        <m:r>
          <m:t>e</m:t>
        </m:r>
        <m:r>
          <m:t>c</m:t>
        </m:r>
        <m:r>
          <m:t>y</m:t>
        </m:r>
        <m:r>
          <m:t>c</m:t>
        </m:r>
        <m:r>
          <m:t>l</m:t>
        </m:r>
        <m:r>
          <m:t>e</m:t>
        </m:r>
        <m:r>
          <m:t>d</m:t>
        </m:r>
        <m:r>
          <m:rPr>
            <m:sty m:val="p"/>
          </m:rPr>
          <m:t>−</m:t>
        </m:r>
        <m:r>
          <m:t>f</m:t>
        </m:r>
        <m:r>
          <m:t>i</m:t>
        </m:r>
        <m:r>
          <m:t>b</m:t>
        </m:r>
        <m:r>
          <m:t>e</m:t>
        </m:r>
        <m:r>
          <m:t>r</m:t>
        </m:r>
        <m:r>
          <m:t>i</m:t>
        </m:r>
        <m:r>
          <m:t>n</m:t>
        </m:r>
        <m:r>
          <m:t>f</m:t>
        </m:r>
        <m:r>
          <m:t>l</m:t>
        </m:r>
        <m:r>
          <m:t>a</m:t>
        </m:r>
        <m:r>
          <m:t>t</m:t>
        </m:r>
        <m:r>
          <m:t>i</m:t>
        </m:r>
        <m:r>
          <m:t>o</m:t>
        </m:r>
        <m:r>
          <m:t>n</m:t>
        </m:r>
        <m:r>
          <m:rPr>
            <m:sty m:val="p"/>
          </m:rPr>
          <m:t>,</m:t>
        </m:r>
        <m:r>
          <m:t>a</m:t>
        </m:r>
        <m:r>
          <m:t>n</m:t>
        </m:r>
        <m:r>
          <m:t>d</m:t>
        </m:r>
        <m:r>
          <m:t>a</m:t>
        </m:r>
        <m:r>
          <m:t>c</m:t>
        </m:r>
        <m:r>
          <m:t>q</m:t>
        </m:r>
        <m:r>
          <m:t>u</m:t>
        </m:r>
        <m:r>
          <m:t>i</m:t>
        </m:r>
        <m:r>
          <m:t>s</m:t>
        </m:r>
        <m:r>
          <m:t>i</m:t>
        </m:r>
        <m:r>
          <m:t>t</m:t>
        </m:r>
        <m:r>
          <m:t>i</m:t>
        </m:r>
        <m:r>
          <m:t>o</m:t>
        </m:r>
        <m:r>
          <m:t>n</m:t>
        </m:r>
        <m:r>
          <m:rPr>
            <m:sty m:val="p"/>
          </m:rPr>
          <m:t>−</m:t>
        </m:r>
        <m:r>
          <m:t>r</m:t>
        </m:r>
        <m:r>
          <m:t>e</m:t>
        </m:r>
        <m:r>
          <m:t>l</m:t>
        </m:r>
        <m:r>
          <m:t>a</m:t>
        </m:r>
        <m:r>
          <m:t>t</m:t>
        </m:r>
        <m:r>
          <m:t>e</m:t>
        </m:r>
        <m:r>
          <m:t>d</m:t>
        </m:r>
        <m:r>
          <m:t>f</m:t>
        </m:r>
        <m:r>
          <m:t>i</m:t>
        </m:r>
        <m:r>
          <m:t>n</m:t>
        </m:r>
        <m:r>
          <m:t>a</m:t>
        </m:r>
        <m:r>
          <m:t>n</m:t>
        </m:r>
        <m:r>
          <m:t>c</m:t>
        </m:r>
        <m:r>
          <m:t>i</m:t>
        </m:r>
        <m:r>
          <m:t>n</m:t>
        </m:r>
        <m:r>
          <m:t>g</m:t>
        </m:r>
        <m:r>
          <m:t>a</m:t>
        </m:r>
        <m:r>
          <m:t>n</m:t>
        </m:r>
        <m:r>
          <m:t>d</m:t>
        </m:r>
        <m:r>
          <m:t>d</m:t>
        </m:r>
        <m:r>
          <m:t>e</m:t>
        </m:r>
        <m:r>
          <m:t>p</m:t>
        </m:r>
        <m:r>
          <m:t>r</m:t>
        </m:r>
        <m:r>
          <m:t>e</m:t>
        </m:r>
        <m:r>
          <m:t>c</m:t>
        </m:r>
        <m:r>
          <m:t>i</m:t>
        </m:r>
        <m:r>
          <m:t>a</m:t>
        </m:r>
        <m:r>
          <m:t>t</m:t>
        </m:r>
        <m:r>
          <m:t>i</m:t>
        </m:r>
        <m:r>
          <m:t>o</m:t>
        </m:r>
        <m:r>
          <m:t>n</m:t>
        </m:r>
        <m:r>
          <m:rPr>
            <m:sty m:val="p"/>
          </m:rPr>
          <m:t>.</m:t>
        </m:r>
        <m:r>
          <m:t>M</m:t>
        </m:r>
        <m:r>
          <m:t>a</m:t>
        </m:r>
        <m:r>
          <m:t>n</m:t>
        </m:r>
        <m:r>
          <m:t>a</m:t>
        </m:r>
        <m:r>
          <m:t>g</m:t>
        </m:r>
        <m:r>
          <m:t>e</m:t>
        </m:r>
        <m:r>
          <m:t>m</m:t>
        </m:r>
        <m:r>
          <m:t>e</m:t>
        </m:r>
        <m:r>
          <m:t>n</m:t>
        </m:r>
        <m:r>
          <m:t>t</m:t>
        </m:r>
        <m:r>
          <m:t>s</m:t>
        </m:r>
        <m:r>
          <m:t>u</m:t>
        </m:r>
        <m:r>
          <m:t>b</m:t>
        </m:r>
        <m:r>
          <m:t>s</m:t>
        </m:r>
        <m:r>
          <m:t>e</m:t>
        </m:r>
        <m:r>
          <m:t>q</m:t>
        </m:r>
        <m:r>
          <m:t>u</m:t>
        </m:r>
        <m:r>
          <m:t>e</m:t>
        </m:r>
        <m:r>
          <m:t>n</m:t>
        </m:r>
        <m:r>
          <m:t>t</m:t>
        </m:r>
        <m:r>
          <m:t>l</m:t>
        </m:r>
        <m:r>
          <m:t>y</m:t>
        </m:r>
        <m:r>
          <m:t>f</m:t>
        </m:r>
        <m:r>
          <m:t>o</m:t>
        </m:r>
        <m:r>
          <m:t>r</m:t>
        </m:r>
        <m:r>
          <m:t>e</m:t>
        </m:r>
        <m:r>
          <m:t>c</m:t>
        </m:r>
        <m:r>
          <m:t>a</m:t>
        </m:r>
        <m:r>
          <m:t>s</m:t>
        </m:r>
        <m:r>
          <m:t>t</m:t>
        </m:r>
        <m:r>
          <m:t>r</m:t>
        </m:r>
        <m:r>
          <m:t>o</m:t>
        </m:r>
        <m:r>
          <m:t>u</m:t>
        </m:r>
        <m:r>
          <m:t>g</m:t>
        </m:r>
        <m:r>
          <m:t>h</m:t>
        </m:r>
        <m:r>
          <m:t>l</m:t>
        </m:r>
        <m:r>
          <m:t>y</m:t>
        </m:r>
        <m:r>
          <m:rPr>
            <m:sty m:val="p"/>
          </m:rPr>
          <m:t>*</m:t>
        </m:r>
        <m:r>
          <m:rPr>
            <m:sty m:val="p"/>
          </m:rPr>
          <m:t>*</m:t>
        </m:r>
      </m:oMath>
      <w:r>
        <w:t xml:space="preserve">0.10 of sequential improvement**, which would make the business accretive in Q2.</w:t>
      </w:r>
    </w:p>
    <w:p>
      <w:pPr>
        <w:pStyle w:val="BodyText"/>
      </w:pPr>
      <w:r>
        <w:t xml:space="preserve">By the April call, PKG had achieved a</w:t>
      </w:r>
      <w:r>
        <w:t xml:space="preserve"> </w:t>
      </w:r>
      <m:oMath>
        <m:r>
          <m:t>15</m:t>
        </m:r>
        <m:r>
          <m:rPr>
            <m:sty m:val="p"/>
          </m:rPr>
          <m:t>–</m:t>
        </m:r>
      </m:oMath>
      <w:r>
        <w:rPr>
          <w:b/>
          <w:bCs/>
        </w:rPr>
        <w:t xml:space="preserve">20 million productivity-improvement run rate</w:t>
      </w:r>
      <w:r>
        <w:t xml:space="preserve"> </w:t>
      </w:r>
      <w:r>
        <w:t xml:space="preserve">at the acquired mills and remained on track for a</w:t>
      </w:r>
      <w:r>
        <w:t xml:space="preserve"> </w:t>
      </w:r>
      <w:r>
        <w:rPr>
          <w:b/>
          <w:bCs/>
        </w:rPr>
        <w:t xml:space="preserve">$30 million synergy run rate by year-end</w:t>
      </w:r>
      <w:r>
        <w:t xml:space="preserve">. The June update said Greif was on forecast through May. A clear positive contribution in Q2 would validate the integration thesis.</w:t>
      </w:r>
    </w:p>
    <w:bookmarkEnd w:id="17"/>
    <w:bookmarkStart w:id="18" w:name="headwinds"/>
    <w:p>
      <w:pPr>
        <w:pStyle w:val="Heading3"/>
      </w:pPr>
      <w:r>
        <w:t xml:space="preserve">Headwinds</w:t>
      </w:r>
    </w:p>
    <w:p>
      <w:pPr>
        <w:pStyle w:val="FirstParagraph"/>
      </w:pPr>
      <w:r>
        <w:rPr>
          <w:b/>
          <w:bCs/>
        </w:rPr>
        <w:t xml:space="preserve">1. Maintenance outages</w:t>
      </w:r>
    </w:p>
    <w:p>
      <w:pPr>
        <w:pStyle w:val="BodyText"/>
      </w:pPr>
      <w:r>
        <w:t xml:space="preserve">The largest known sequential drag is planned maintenance. Management estimated outage expense at:</w:t>
      </w:r>
    </w:p>
    <w:p>
      <w:pPr>
        <w:pStyle w:val="Compact"/>
        <w:numPr>
          <w:ilvl w:val="0"/>
          <w:numId w:val="1003"/>
        </w:numPr>
      </w:pPr>
      <w:r>
        <w:t xml:space="preserve">Q1:</w:t>
      </w:r>
      <w:r>
        <w:t xml:space="preserve"> </w:t>
      </w:r>
      <w:r>
        <w:rPr>
          <w:b/>
          <w:bCs/>
        </w:rPr>
        <w:t xml:space="preserve">$0.14 per share</w:t>
      </w:r>
    </w:p>
    <w:p>
      <w:pPr>
        <w:pStyle w:val="Compact"/>
        <w:numPr>
          <w:ilvl w:val="0"/>
          <w:numId w:val="1003"/>
        </w:numPr>
      </w:pPr>
      <w:r>
        <w:t xml:space="preserve">Q2:</w:t>
      </w:r>
      <w:r>
        <w:t xml:space="preserve"> </w:t>
      </w:r>
      <w:r>
        <w:rPr>
          <w:b/>
          <w:bCs/>
        </w:rPr>
        <w:t xml:space="preserve">$0.36</w:t>
      </w:r>
    </w:p>
    <w:p>
      <w:pPr>
        <w:pStyle w:val="Compact"/>
        <w:numPr>
          <w:ilvl w:val="0"/>
          <w:numId w:val="1003"/>
        </w:numPr>
      </w:pPr>
      <w:r>
        <w:t xml:space="preserve">Q3:</w:t>
      </w:r>
      <w:r>
        <w:t xml:space="preserve"> </w:t>
      </w:r>
      <w:r>
        <w:rPr>
          <w:b/>
          <w:bCs/>
        </w:rPr>
        <w:t xml:space="preserve">$0.31</w:t>
      </w:r>
    </w:p>
    <w:p>
      <w:pPr>
        <w:pStyle w:val="Compact"/>
        <w:numPr>
          <w:ilvl w:val="0"/>
          <w:numId w:val="1003"/>
        </w:numPr>
      </w:pPr>
      <w:r>
        <w:t xml:space="preserve">Q4:</w:t>
      </w:r>
      <w:r>
        <w:t xml:space="preserve"> </w:t>
      </w:r>
      <w:r>
        <w:rPr>
          <w:b/>
          <w:bCs/>
        </w:rPr>
        <w:t xml:space="preserve">$0.64</w:t>
      </w:r>
    </w:p>
    <w:p>
      <w:pPr>
        <w:pStyle w:val="FirstParagraph"/>
      </w:pPr>
      <w:r>
        <w:t xml:space="preserve">Thus, Q2 carries approximately</w:t>
      </w:r>
      <w:r>
        <w:t xml:space="preserve"> </w:t>
      </w:r>
      <w:r>
        <w:rPr>
          <w:b/>
          <w:bCs/>
        </w:rPr>
        <w:t xml:space="preserve">$0.22 per share more outage expense than Q1</w:t>
      </w:r>
      <w:r>
        <w:t xml:space="preserve">, with work at five packaging mills.</w:t>
      </w:r>
    </w:p>
    <w:p>
      <w:pPr>
        <w:pStyle w:val="BodyText"/>
      </w:pPr>
      <w:r>
        <w:t xml:space="preserve">Execution matters because demand is strong and PKG’s linerboard system is tight. Any unplanned downtime could affect production, freight and inventory simultaneously.</w:t>
      </w:r>
    </w:p>
    <w:p>
      <w:pPr>
        <w:pStyle w:val="BodyText"/>
      </w:pPr>
      <w:r>
        <w:rPr>
          <w:b/>
          <w:bCs/>
        </w:rPr>
        <w:t xml:space="preserve">2. Freight and recycled-fiber inflation</w:t>
      </w:r>
    </w:p>
    <w:p>
      <w:pPr>
        <w:pStyle w:val="BodyText"/>
      </w:pPr>
      <w:r>
        <w:t xml:space="preserve">In June, management said freight expense would be approximately</w:t>
      </w:r>
      <w:r>
        <w:t xml:space="preserve"> </w:t>
      </w:r>
      <m:oMath>
        <m:r>
          <m:t>10</m:t>
        </m:r>
        <m:r>
          <m:rPr>
            <m:sty m:val="p"/>
          </m:rPr>
          <m:t>–</m:t>
        </m:r>
      </m:oMath>
      <w:r>
        <w:rPr>
          <w:b/>
          <w:bCs/>
        </w:rPr>
        <w:t xml:space="preserve">12 million worse than forecast</w:t>
      </w:r>
      <w:r>
        <w:t xml:space="preserve">, due both to higher rates and the need to move more tons over longer distances to satisfy box-plant demand. Recycled fiber was also above plan, although PKG said it was mitigating this through virgin-fiber substitution and improved yields. (</w:t>
      </w:r>
      <w:hyperlink r:id="rId14">
        <w:r>
          <w:rPr>
            <w:rStyle w:val="Hyperlink"/>
          </w:rPr>
          <w:t xml:space="preserve">ir.packagingcorp.com</w:t>
        </w:r>
      </w:hyperlink>
      <w:r>
        <w:t xml:space="preserve">)</w:t>
      </w:r>
    </w:p>
    <w:p>
      <w:pPr>
        <w:pStyle w:val="BodyText"/>
      </w:pPr>
      <w:r>
        <w:t xml:space="preserve">The key distinction is between:</w:t>
      </w:r>
    </w:p>
    <w:p>
      <w:pPr>
        <w:pStyle w:val="Compact"/>
        <w:numPr>
          <w:ilvl w:val="0"/>
          <w:numId w:val="1004"/>
        </w:numPr>
      </w:pPr>
      <w:r>
        <w:t xml:space="preserve">higher freight caused by stronger volume, which is relatively benign; and</w:t>
      </w:r>
    </w:p>
    <w:p>
      <w:pPr>
        <w:pStyle w:val="Compact"/>
        <w:numPr>
          <w:ilvl w:val="0"/>
          <w:numId w:val="1004"/>
        </w:numPr>
      </w:pPr>
      <w:r>
        <w:t xml:space="preserve">structural rate inflation or inefficient mill-to-plant flows, which could pressure margins for longer.</w:t>
      </w:r>
    </w:p>
    <w:p>
      <w:pPr>
        <w:pStyle w:val="FirstParagraph"/>
      </w:pPr>
      <w:r>
        <w:rPr>
          <w:b/>
          <w:bCs/>
        </w:rPr>
        <w:t xml:space="preserve">3. Deliberate inventory rebuilding</w:t>
      </w:r>
    </w:p>
    <w:p>
      <w:pPr>
        <w:pStyle w:val="BodyText"/>
      </w:pPr>
      <w:r>
        <w:t xml:space="preserve">Strong demand and the heavy outage schedule produced an approximately</w:t>
      </w:r>
      <w:r>
        <w:t xml:space="preserve"> </w:t>
      </w:r>
      <w:r>
        <w:rPr>
          <w:b/>
          <w:bCs/>
        </w:rPr>
        <w:t xml:space="preserve">90,000-ton inventory draw during March and April</w:t>
      </w:r>
      <w:r>
        <w:t xml:space="preserve">. PKG responded by reducing export sales and rebuilding box-plant inventories in May and June.</w:t>
      </w:r>
    </w:p>
    <w:p>
      <w:pPr>
        <w:pStyle w:val="BodyText"/>
      </w:pPr>
      <w:r>
        <w:t xml:space="preserve">Management estimated that this action would reduce Q2 EPS by approximately</w:t>
      </w:r>
      <w:r>
        <w:t xml:space="preserve"> </w:t>
      </w:r>
      <m:oMath>
        <m:r>
          <m:t>0.03</m:t>
        </m:r>
        <m:r>
          <m:rPr>
            <m:sty m:val="p"/>
          </m:rPr>
          <m:t>–</m:t>
        </m:r>
      </m:oMath>
      <w:r>
        <w:rPr>
          <w:b/>
          <w:bCs/>
        </w:rPr>
        <w:t xml:space="preserve">0.04 relative to its original guidance</w:t>
      </w:r>
      <w:r>
        <w:t xml:space="preserve">. (</w:t>
      </w:r>
      <w:hyperlink r:id="rId14">
        <w:r>
          <w:rPr>
            <w:rStyle w:val="Hyperlink"/>
          </w:rPr>
          <w:t xml:space="preserve">ir.packagingcorp.com</w:t>
        </w:r>
      </w:hyperlink>
      <w:r>
        <w:t xml:space="preserve">)</w:t>
      </w:r>
    </w:p>
    <w:p>
      <w:pPr>
        <w:pStyle w:val="BodyText"/>
      </w:pPr>
      <w:r>
        <w:t xml:space="preserve">That is economically preferable to under-serving domestic customers, but it creates some downside risk to the reported quarter. Investors should examine whether inventory was restored to a comfortable level before the larger Q4 linerboard outages.</w:t>
      </w:r>
    </w:p>
    <w:p>
      <w:pPr>
        <w:pStyle w:val="BodyText"/>
      </w:pPr>
      <w:r>
        <w:rPr>
          <w:b/>
          <w:bCs/>
        </w:rPr>
        <w:t xml:space="preserve">4. Tax and compensation</w:t>
      </w:r>
    </w:p>
    <w:p>
      <w:pPr>
        <w:pStyle w:val="BodyText"/>
      </w:pPr>
      <w:r>
        <w:t xml:space="preserve">The Q1 adjusted tax rate was unusually low, just under 23%, due to benefits associated with employee equity awards. Management expected approximately</w:t>
      </w:r>
      <w:r>
        <w:t xml:space="preserve"> </w:t>
      </w:r>
      <w:r>
        <w:rPr>
          <w:b/>
          <w:bCs/>
        </w:rPr>
        <w:t xml:space="preserve">26% in Q2</w:t>
      </w:r>
      <w:r>
        <w:t xml:space="preserve">. Stock-compensation expense was also expected to run higher than the prior-year level.</w:t>
      </w:r>
    </w:p>
    <w:bookmarkEnd w:id="18"/>
    <w:bookmarkEnd w:id="19"/>
    <w:bookmarkStart w:id="20" w:name="pricing-is-the-central-q3-catalyst"/>
    <w:p>
      <w:pPr>
        <w:pStyle w:val="Heading2"/>
      </w:pPr>
      <w:r>
        <w:t xml:space="preserve">Pricing is the central Q3 catalyst</w:t>
      </w:r>
    </w:p>
    <w:p>
      <w:pPr>
        <w:pStyle w:val="FirstParagraph"/>
      </w:pPr>
      <w:r>
        <w:t xml:space="preserve">PKG’s June update introduced an additional pricing catalyst: the company notified customers of another</w:t>
      </w:r>
      <w:r>
        <w:t xml:space="preserve"> </w:t>
      </w:r>
      <w:r>
        <w:rPr>
          <w:b/>
          <w:bCs/>
        </w:rPr>
        <w:t xml:space="preserve">$50-per-ton containerboard increase effective June 1</w:t>
      </w:r>
      <w:r>
        <w:t xml:space="preserve">, with corrugated implementation expected to begin in Q3. (</w:t>
      </w:r>
      <w:hyperlink r:id="rId14">
        <w:r>
          <w:rPr>
            <w:rStyle w:val="Hyperlink"/>
          </w:rPr>
          <w:t xml:space="preserve">ir.packagingcorp.com</w:t>
        </w:r>
      </w:hyperlink>
      <w:r>
        <w:t xml:space="preserve">)</w:t>
      </w:r>
    </w:p>
    <w:p>
      <w:pPr>
        <w:pStyle w:val="BodyText"/>
      </w:pPr>
      <w:r>
        <w:t xml:space="preserve">There are therefore two pricing layers to watch:</w:t>
      </w:r>
    </w:p>
    <w:p>
      <w:pPr>
        <w:pStyle w:val="Compact"/>
        <w:numPr>
          <w:ilvl w:val="0"/>
          <w:numId w:val="1005"/>
        </w:numPr>
      </w:pPr>
      <w:r>
        <w:t xml:space="preserve">the remainder of the first net $50-per-ton increase; and</w:t>
      </w:r>
    </w:p>
    <w:p>
      <w:pPr>
        <w:pStyle w:val="Compact"/>
        <w:numPr>
          <w:ilvl w:val="0"/>
          <w:numId w:val="1005"/>
        </w:numPr>
      </w:pPr>
      <w:r>
        <w:t xml:space="preserve">initial implementation of the second $50-per-ton announcement.</w:t>
      </w:r>
    </w:p>
    <w:p>
      <w:pPr>
        <w:pStyle w:val="FirstParagraph"/>
      </w:pPr>
      <w:r>
        <w:t xml:space="preserve">Management said Q3 should benefit from:</w:t>
      </w:r>
    </w:p>
    <w:p>
      <w:pPr>
        <w:pStyle w:val="Compact"/>
        <w:numPr>
          <w:ilvl w:val="0"/>
          <w:numId w:val="1006"/>
        </w:numPr>
      </w:pPr>
      <w:r>
        <w:t xml:space="preserve">improved pricing;</w:t>
      </w:r>
    </w:p>
    <w:p>
      <w:pPr>
        <w:pStyle w:val="Compact"/>
        <w:numPr>
          <w:ilvl w:val="0"/>
          <w:numId w:val="1006"/>
        </w:numPr>
      </w:pPr>
      <w:r>
        <w:t xml:space="preserve">higher production;</w:t>
      </w:r>
    </w:p>
    <w:p>
      <w:pPr>
        <w:pStyle w:val="Compact"/>
        <w:numPr>
          <w:ilvl w:val="0"/>
          <w:numId w:val="1006"/>
        </w:numPr>
      </w:pPr>
      <w:r>
        <w:t xml:space="preserve">lower outage impact;</w:t>
      </w:r>
    </w:p>
    <w:p>
      <w:pPr>
        <w:pStyle w:val="Compact"/>
        <w:numPr>
          <w:ilvl w:val="0"/>
          <w:numId w:val="1006"/>
        </w:numPr>
      </w:pPr>
      <w:r>
        <w:t xml:space="preserve">continued year-over-year corrugated demand growth; and</w:t>
      </w:r>
    </w:p>
    <w:p>
      <w:pPr>
        <w:pStyle w:val="Compact"/>
        <w:numPr>
          <w:ilvl w:val="0"/>
          <w:numId w:val="1006"/>
        </w:numPr>
      </w:pPr>
      <w:r>
        <w:t xml:space="preserve">normal seasonal volume improvement. (</w:t>
      </w:r>
      <w:hyperlink r:id="rId14">
        <w:r>
          <w:rPr>
            <w:rStyle w:val="Hyperlink"/>
          </w:rPr>
          <w:t xml:space="preserve">ir.packagingcorp.com</w:t>
        </w:r>
      </w:hyperlink>
      <w:r>
        <w:t xml:space="preserve">)</w:t>
      </w:r>
    </w:p>
    <w:p>
      <w:pPr>
        <w:pStyle w:val="FirstParagraph"/>
      </w:pPr>
      <w:r>
        <w:t xml:space="preserve">Published Q3 consensus EPS is currently around</w:t>
      </w:r>
      <w:r>
        <w:t xml:space="preserve"> </w:t>
      </w:r>
      <w:r>
        <w:rPr>
          <w:b/>
          <w:bCs/>
        </w:rPr>
        <w:t xml:space="preserve">$2.97</w:t>
      </w:r>
      <w:r>
        <w:t xml:space="preserve">, versus approximately</w:t>
      </w:r>
      <w:r>
        <w:t xml:space="preserve"> </w:t>
      </w:r>
      <m:oMath>
        <m:r>
          <m:t>2.31</m:t>
        </m:r>
        <m:r>
          <m:rPr>
            <m:sty m:val="p"/>
          </m:rPr>
          <m:t>–</m:t>
        </m:r>
      </m:oMath>
      <w:r>
        <w:t xml:space="preserve">2.35 for Q2. (</w:t>
      </w:r>
      <w:hyperlink r:id="rId10">
        <w:r>
          <w:rPr>
            <w:rStyle w:val="Hyperlink"/>
          </w:rPr>
          <w:t xml:space="preserve">stage.zacks.com</w:t>
        </w:r>
      </w:hyperlink>
      <w:r>
        <w:t xml:space="preserve">) That is a substantial sequential increase. To support it, management will likely need to confirm that price realization is proceeding normally, Greif is accretive, mill production is stable and demand remains healthy.</w:t>
      </w:r>
    </w:p>
    <w:bookmarkEnd w:id="20"/>
    <w:bookmarkStart w:id="27" w:name="kpis-and-call-questions"/>
    <w:p>
      <w:pPr>
        <w:pStyle w:val="Heading2"/>
      </w:pPr>
      <w:r>
        <w:t xml:space="preserve">KPIs and call questions</w:t>
      </w:r>
    </w:p>
    <w:bookmarkStart w:id="21" w:name="Xfda4c13c1e1236301de3d3ce9a0ac5bf9b36c87"/>
    <w:p>
      <w:pPr>
        <w:pStyle w:val="Heading3"/>
      </w:pPr>
      <w:r>
        <w:t xml:space="preserve">1. Corrugated volume</w:t>
      </w:r>
    </w:p>
    <w:p>
      <w:pPr>
        <w:pStyle w:val="FirstParagraph"/>
      </w:pPr>
      <w:r>
        <w:t xml:space="preserve">The best outcome would be:</w:t>
      </w:r>
    </w:p>
    <w:p>
      <w:pPr>
        <w:pStyle w:val="Compact"/>
        <w:numPr>
          <w:ilvl w:val="0"/>
          <w:numId w:val="1007"/>
        </w:numPr>
      </w:pPr>
      <w:r>
        <w:t xml:space="preserve">legacy growth remaining in the mid-single digits;</w:t>
      </w:r>
    </w:p>
    <w:p>
      <w:pPr>
        <w:pStyle w:val="Compact"/>
        <w:numPr>
          <w:ilvl w:val="0"/>
          <w:numId w:val="1007"/>
        </w:numPr>
      </w:pPr>
      <w:r>
        <w:t xml:space="preserve">no significant slowing in June or early July; and</w:t>
      </w:r>
    </w:p>
    <w:p>
      <w:pPr>
        <w:pStyle w:val="Compact"/>
        <w:numPr>
          <w:ilvl w:val="0"/>
          <w:numId w:val="1007"/>
        </w:numPr>
      </w:pPr>
      <w:r>
        <w:t xml:space="preserve">management retaining confidence in second-half seasonal growth.</w:t>
      </w:r>
    </w:p>
    <w:p>
      <w:pPr>
        <w:pStyle w:val="FirstParagraph"/>
      </w:pPr>
      <w:r>
        <w:t xml:space="preserve">A Q2 beat driven primarily by volume would be encouraging, provided it did not result from temporary pre-buying ahead of price increases.</w:t>
      </w:r>
    </w:p>
    <w:bookmarkEnd w:id="21"/>
    <w:bookmarkStart w:id="22" w:name="X6a609dbaed61955e963f476321076f95c905a21"/>
    <w:p>
      <w:pPr>
        <w:pStyle w:val="Heading3"/>
      </w:pPr>
      <w:r>
        <w:t xml:space="preserve">2. Packaging margins</w:t>
      </w:r>
    </w:p>
    <w:p>
      <w:pPr>
        <w:pStyle w:val="FirstParagraph"/>
      </w:pPr>
      <w:r>
        <w:t xml:space="preserve">Q1 adjusted Packaging EBITDA margin was</w:t>
      </w:r>
      <w:r>
        <w:t xml:space="preserve"> </w:t>
      </w:r>
      <w:r>
        <w:rPr>
          <w:b/>
          <w:bCs/>
        </w:rPr>
        <w:t xml:space="preserve">22.0%</w:t>
      </w:r>
      <w:r>
        <w:t xml:space="preserve">, up from 20.8% a year earlier. (</w:t>
      </w:r>
      <w:hyperlink r:id="rId14">
        <w:r>
          <w:rPr>
            <w:rStyle w:val="Hyperlink"/>
          </w:rPr>
          <w:t xml:space="preserve">ir.packagingcorp.com</w:t>
        </w:r>
      </w:hyperlink>
      <w:r>
        <w:t xml:space="preserve">)</w:t>
      </w:r>
    </w:p>
    <w:p>
      <w:pPr>
        <w:pStyle w:val="BodyText"/>
      </w:pPr>
      <w:r>
        <w:t xml:space="preserve">Holding near that level in Q2 despite heavier outages and freight inflation would demonstrate strong underlying operating leverage. Conversely, a sharp margin decline despite robust volume would suggest that price is not yet covering inflation and network inefficiencies.</w:t>
      </w:r>
    </w:p>
    <w:bookmarkEnd w:id="22"/>
    <w:bookmarkStart w:id="23" w:name="Xcf16b5e29c2e4ba74dcc0ccfb8015928dee7267"/>
    <w:p>
      <w:pPr>
        <w:pStyle w:val="Heading3"/>
      </w:pPr>
      <w:r>
        <w:t xml:space="preserve">3. Greif integration</w:t>
      </w:r>
    </w:p>
    <w:p>
      <w:pPr>
        <w:pStyle w:val="FirstParagraph"/>
      </w:pPr>
      <w:r>
        <w:t xml:space="preserve">Investors need evidence beyond the acquired operation merely turning profitable:</w:t>
      </w:r>
    </w:p>
    <w:p>
      <w:pPr>
        <w:pStyle w:val="Compact"/>
        <w:numPr>
          <w:ilvl w:val="0"/>
          <w:numId w:val="1008"/>
        </w:numPr>
      </w:pPr>
      <w:r>
        <w:t xml:space="preserve">Is the business clearly accretive?</w:t>
      </w:r>
    </w:p>
    <w:p>
      <w:pPr>
        <w:pStyle w:val="Compact"/>
        <w:numPr>
          <w:ilvl w:val="0"/>
          <w:numId w:val="1008"/>
        </w:numPr>
      </w:pPr>
      <w:r>
        <w:t xml:space="preserve">Is PKG still on track for the $30 million year-end synergy run rate?</w:t>
      </w:r>
    </w:p>
    <w:p>
      <w:pPr>
        <w:pStyle w:val="Compact"/>
        <w:numPr>
          <w:ilvl w:val="0"/>
          <w:numId w:val="1008"/>
        </w:numPr>
      </w:pPr>
      <w:r>
        <w:t xml:space="preserve">Are freight and grade optimization benefits beginning to appear?</w:t>
      </w:r>
    </w:p>
    <w:p>
      <w:pPr>
        <w:pStyle w:val="Compact"/>
        <w:numPr>
          <w:ilvl w:val="0"/>
          <w:numId w:val="1008"/>
        </w:numPr>
      </w:pPr>
      <w:r>
        <w:t xml:space="preserve">Is systems integration still expected to finish by the end of Q3?</w:t>
      </w:r>
    </w:p>
    <w:p>
      <w:pPr>
        <w:pStyle w:val="Compact"/>
        <w:numPr>
          <w:ilvl w:val="0"/>
          <w:numId w:val="1008"/>
        </w:numPr>
      </w:pPr>
      <w:r>
        <w:t xml:space="preserve">Has seasonally stronger mix materialized?</w:t>
      </w:r>
    </w:p>
    <w:p>
      <w:pPr>
        <w:pStyle w:val="FirstParagraph"/>
      </w:pPr>
      <w:r>
        <w:t xml:space="preserve">Greif is now strategically important because it added two mills, approximately 800,000 tons of capacity and eight converting operations. It also increased debt, depreciation and interest expense, raising the importance of achieving the expected returns.</w:t>
      </w:r>
    </w:p>
    <w:bookmarkEnd w:id="23"/>
    <w:bookmarkStart w:id="24" w:name="X87c8d67c06ee006521d0a5006bd119c1cc511e5"/>
    <w:p>
      <w:pPr>
        <w:pStyle w:val="Heading3"/>
      </w:pPr>
      <w:r>
        <w:t xml:space="preserve">4. Containerboard availability and inventory</w:t>
      </w:r>
    </w:p>
    <w:p>
      <w:pPr>
        <w:pStyle w:val="FirstParagraph"/>
      </w:pPr>
      <w:r>
        <w:t xml:space="preserve">The company’s tight linerboard position is both positive and risky. Strong internal demand supports pricing and utilization, but leaves less room for operational disruptions.</w:t>
      </w:r>
    </w:p>
    <w:p>
      <w:pPr>
        <w:pStyle w:val="BodyText"/>
      </w:pPr>
      <w:r>
        <w:t xml:space="preserve">Watch:</w:t>
      </w:r>
    </w:p>
    <w:p>
      <w:pPr>
        <w:pStyle w:val="Compact"/>
        <w:numPr>
          <w:ilvl w:val="0"/>
          <w:numId w:val="1009"/>
        </w:numPr>
      </w:pPr>
      <w:r>
        <w:t xml:space="preserve">quarter-end containerboard inventory;</w:t>
      </w:r>
    </w:p>
    <w:p>
      <w:pPr>
        <w:pStyle w:val="Compact"/>
        <w:numPr>
          <w:ilvl w:val="0"/>
          <w:numId w:val="1009"/>
        </w:numPr>
      </w:pPr>
      <w:r>
        <w:t xml:space="preserve">export curtailments;</w:t>
      </w:r>
    </w:p>
    <w:p>
      <w:pPr>
        <w:pStyle w:val="Compact"/>
        <w:numPr>
          <w:ilvl w:val="0"/>
          <w:numId w:val="1009"/>
        </w:numPr>
      </w:pPr>
      <w:r>
        <w:t xml:space="preserve">mill operating rates;</w:t>
      </w:r>
    </w:p>
    <w:p>
      <w:pPr>
        <w:pStyle w:val="Compact"/>
        <w:numPr>
          <w:ilvl w:val="0"/>
          <w:numId w:val="1009"/>
        </w:numPr>
      </w:pPr>
      <w:r>
        <w:t xml:space="preserve">whether inventory rebuilding continues in Q3; and</w:t>
      </w:r>
    </w:p>
    <w:p>
      <w:pPr>
        <w:pStyle w:val="Compact"/>
        <w:numPr>
          <w:ilvl w:val="0"/>
          <w:numId w:val="1009"/>
        </w:numPr>
      </w:pPr>
      <w:r>
        <w:t xml:space="preserve">preparedness for the heavy Q4 outage schedule.</w:t>
      </w:r>
    </w:p>
    <w:bookmarkEnd w:id="24"/>
    <w:bookmarkStart w:id="25" w:name="X4fb333fb319c7361e9eb8e85d7ebf2040d078d7"/>
    <w:p>
      <w:pPr>
        <w:pStyle w:val="Heading3"/>
      </w:pPr>
      <w:r>
        <w:t xml:space="preserve">5. Cost outlook</w:t>
      </w:r>
    </w:p>
    <w:p>
      <w:pPr>
        <w:pStyle w:val="FirstParagraph"/>
      </w:pPr>
      <w:r>
        <w:t xml:space="preserve">Management previously suggested that Q2 freight, fiber and chemical costs could be a reasonable run-rate assumption for the second half. Any moderation would provide upside; continued acceleration could absorb part of the Q3 pricing benefit.</w:t>
      </w:r>
    </w:p>
    <w:bookmarkEnd w:id="25"/>
    <w:bookmarkStart w:id="26" w:name="X5c64f5b00f1d3dce7718a6fa5cf13176d803035"/>
    <w:p>
      <w:pPr>
        <w:pStyle w:val="Heading3"/>
      </w:pPr>
      <w:r>
        <w:t xml:space="preserve">6. Capital spending and cash flow</w:t>
      </w:r>
    </w:p>
    <w:p>
      <w:pPr>
        <w:pStyle w:val="FirstParagraph"/>
      </w:pPr>
      <w:r>
        <w:t xml:space="preserve">Full-year capital spending guidance was</w:t>
      </w:r>
      <w:r>
        <w:t xml:space="preserve"> </w:t>
      </w:r>
      <m:oMath>
        <m:r>
          <m:t>840</m:t>
        </m:r>
        <m:r>
          <m:rPr>
            <m:sty m:val="p"/>
          </m:rPr>
          <m:t>–</m:t>
        </m:r>
      </m:oMath>
      <w:r>
        <w:rPr>
          <w:b/>
          <w:bCs/>
        </w:rPr>
        <w:t xml:space="preserve">870 million</w:t>
      </w:r>
      <w:r>
        <w:t xml:space="preserve">, compared with Q1 operating cash flow of $329 million and capital spending of $165 million. The balance sheet remains manageable, but the Greif acquisition increased long-term debt to roughly $4 billion and materially increased interest expense.</w:t>
      </w:r>
    </w:p>
    <w:p>
      <w:pPr>
        <w:pStyle w:val="BodyText"/>
      </w:pPr>
      <w:r>
        <w:t xml:space="preserve">Investors should watch for changes to:</w:t>
      </w:r>
    </w:p>
    <w:p>
      <w:pPr>
        <w:pStyle w:val="Compact"/>
        <w:numPr>
          <w:ilvl w:val="0"/>
          <w:numId w:val="1010"/>
        </w:numPr>
      </w:pPr>
      <w:r>
        <w:t xml:space="preserve">the capex range;</w:t>
      </w:r>
    </w:p>
    <w:p>
      <w:pPr>
        <w:pStyle w:val="Compact"/>
        <w:numPr>
          <w:ilvl w:val="0"/>
          <w:numId w:val="1010"/>
        </w:numPr>
      </w:pPr>
      <w:r>
        <w:t xml:space="preserve">timing and returns on planned gas-turbine projects;</w:t>
      </w:r>
    </w:p>
    <w:p>
      <w:pPr>
        <w:pStyle w:val="Compact"/>
        <w:numPr>
          <w:ilvl w:val="0"/>
          <w:numId w:val="1010"/>
        </w:numPr>
      </w:pPr>
      <w:r>
        <w:t xml:space="preserve">acquisition integration spending;</w:t>
      </w:r>
    </w:p>
    <w:p>
      <w:pPr>
        <w:pStyle w:val="Compact"/>
        <w:numPr>
          <w:ilvl w:val="0"/>
          <w:numId w:val="1010"/>
        </w:numPr>
      </w:pPr>
      <w:r>
        <w:t xml:space="preserve">share repurchases; and</w:t>
      </w:r>
    </w:p>
    <w:p>
      <w:pPr>
        <w:pStyle w:val="Compact"/>
        <w:numPr>
          <w:ilvl w:val="0"/>
          <w:numId w:val="1010"/>
        </w:numPr>
      </w:pPr>
      <w:r>
        <w:t xml:space="preserve">debt-reduction priorities.</w:t>
      </w:r>
    </w:p>
    <w:bookmarkEnd w:id="26"/>
    <w:bookmarkEnd w:id="27"/>
    <w:bookmarkStart w:id="31" w:name="scenario-framework"/>
    <w:p>
      <w:pPr>
        <w:pStyle w:val="Heading2"/>
      </w:pPr>
      <w:r>
        <w:t xml:space="preserve">Scenario framework</w:t>
      </w:r>
    </w:p>
    <w:bookmarkStart w:id="28" w:name="bull-case"/>
    <w:p>
      <w:pPr>
        <w:pStyle w:val="Heading3"/>
      </w:pPr>
      <w:r>
        <w:t xml:space="preserve">Bull case</w:t>
      </w:r>
    </w:p>
    <w:p>
      <w:pPr>
        <w:pStyle w:val="Compact"/>
        <w:numPr>
          <w:ilvl w:val="0"/>
          <w:numId w:val="1011"/>
        </w:numPr>
      </w:pPr>
      <w:r>
        <w:t xml:space="preserve">Adjusted EPS reaches or exceeds the upper end of the current estimate range.</w:t>
      </w:r>
    </w:p>
    <w:p>
      <w:pPr>
        <w:pStyle w:val="Compact"/>
        <w:numPr>
          <w:ilvl w:val="0"/>
          <w:numId w:val="1011"/>
        </w:numPr>
      </w:pPr>
      <w:r>
        <w:t xml:space="preserve">Legacy corrugated growth remains around the mid-single digits.</w:t>
      </w:r>
    </w:p>
    <w:p>
      <w:pPr>
        <w:pStyle w:val="Compact"/>
        <w:numPr>
          <w:ilvl w:val="0"/>
          <w:numId w:val="1011"/>
        </w:numPr>
      </w:pPr>
      <w:r>
        <w:t xml:space="preserve">Packaging margins hold up despite outages.</w:t>
      </w:r>
    </w:p>
    <w:p>
      <w:pPr>
        <w:pStyle w:val="Compact"/>
        <w:numPr>
          <w:ilvl w:val="0"/>
          <w:numId w:val="1011"/>
        </w:numPr>
      </w:pPr>
      <w:r>
        <w:t xml:space="preserve">Greif is clearly accretive and synergy targets are reaffirmed or raised.</w:t>
      </w:r>
    </w:p>
    <w:p>
      <w:pPr>
        <w:pStyle w:val="Compact"/>
        <w:numPr>
          <w:ilvl w:val="0"/>
          <w:numId w:val="1011"/>
        </w:numPr>
      </w:pPr>
      <w:r>
        <w:t xml:space="preserve">Management guides Q3 near or above roughly $3.00 per share.</w:t>
      </w:r>
    </w:p>
    <w:p>
      <w:pPr>
        <w:pStyle w:val="Compact"/>
        <w:numPr>
          <w:ilvl w:val="0"/>
          <w:numId w:val="1011"/>
        </w:numPr>
      </w:pPr>
      <w:r>
        <w:t xml:space="preserve">Both containerboard increases are being implemented on the expected timetable.</w:t>
      </w:r>
    </w:p>
    <w:p>
      <w:pPr>
        <w:pStyle w:val="Compact"/>
        <w:numPr>
          <w:ilvl w:val="0"/>
          <w:numId w:val="1011"/>
        </w:numPr>
      </w:pPr>
      <w:r>
        <w:t xml:space="preserve">Freight and recycled-fiber pressure stabilizes.</w:t>
      </w:r>
    </w:p>
    <w:p>
      <w:pPr>
        <w:pStyle w:val="FirstParagraph"/>
      </w:pPr>
      <w:r>
        <w:t xml:space="preserve">In this scenario, the market can look through a maintenance-heavy Q2 and focus on an accelerating price-cost spread in Q3.</w:t>
      </w:r>
    </w:p>
    <w:bookmarkEnd w:id="28"/>
    <w:bookmarkStart w:id="29" w:name="base-case"/>
    <w:p>
      <w:pPr>
        <w:pStyle w:val="Heading3"/>
      </w:pPr>
      <w:r>
        <w:t xml:space="preserve">Base case</w:t>
      </w:r>
    </w:p>
    <w:p>
      <w:pPr>
        <w:pStyle w:val="Compact"/>
        <w:numPr>
          <w:ilvl w:val="0"/>
          <w:numId w:val="1012"/>
        </w:numPr>
      </w:pPr>
      <w:r>
        <w:t xml:space="preserve">EPS lands near the $2.33 company guide.</w:t>
      </w:r>
    </w:p>
    <w:p>
      <w:pPr>
        <w:pStyle w:val="Compact"/>
        <w:numPr>
          <w:ilvl w:val="0"/>
          <w:numId w:val="1012"/>
        </w:numPr>
      </w:pPr>
      <w:r>
        <w:t xml:space="preserve">Strong volume offsets most, but not all, freight and inventory-rebuilding costs.</w:t>
      </w:r>
    </w:p>
    <w:p>
      <w:pPr>
        <w:pStyle w:val="Compact"/>
        <w:numPr>
          <w:ilvl w:val="0"/>
          <w:numId w:val="1012"/>
        </w:numPr>
      </w:pPr>
      <w:r>
        <w:t xml:space="preserve">Greif contributes modestly.</w:t>
      </w:r>
    </w:p>
    <w:p>
      <w:pPr>
        <w:pStyle w:val="Compact"/>
        <w:numPr>
          <w:ilvl w:val="0"/>
          <w:numId w:val="1012"/>
        </w:numPr>
      </w:pPr>
      <w:r>
        <w:t xml:space="preserve">Management indicates meaningful sequential Q3 improvement but remains cautious on costs.</w:t>
      </w:r>
    </w:p>
    <w:p>
      <w:pPr>
        <w:pStyle w:val="Compact"/>
        <w:numPr>
          <w:ilvl w:val="0"/>
          <w:numId w:val="1012"/>
        </w:numPr>
      </w:pPr>
      <w:r>
        <w:t xml:space="preserve">Q3 guidance is broadly consistent with the current consensus near $2.97.</w:t>
      </w:r>
    </w:p>
    <w:p>
      <w:pPr>
        <w:pStyle w:val="FirstParagraph"/>
      </w:pPr>
      <w:r>
        <w:t xml:space="preserve">This would be a fundamentally sound report, though the stock reaction may depend on how much Q3 improvement is already priced in.</w:t>
      </w:r>
    </w:p>
    <w:bookmarkEnd w:id="29"/>
    <w:bookmarkStart w:id="30" w:name="bear-case"/>
    <w:p>
      <w:pPr>
        <w:pStyle w:val="Heading3"/>
      </w:pPr>
      <w:r>
        <w:t xml:space="preserve">Bear case</w:t>
      </w:r>
    </w:p>
    <w:p>
      <w:pPr>
        <w:pStyle w:val="Compact"/>
        <w:numPr>
          <w:ilvl w:val="0"/>
          <w:numId w:val="1013"/>
        </w:numPr>
      </w:pPr>
      <w:r>
        <w:t xml:space="preserve">Q2 misses because of freight, recycled fiber, outage execution or greater-than-expected inventory actions.</w:t>
      </w:r>
    </w:p>
    <w:p>
      <w:pPr>
        <w:pStyle w:val="Compact"/>
        <w:numPr>
          <w:ilvl w:val="0"/>
          <w:numId w:val="1013"/>
        </w:numPr>
      </w:pPr>
      <w:r>
        <w:t xml:space="preserve">Legacy demand slowed materially in June or July.</w:t>
      </w:r>
    </w:p>
    <w:p>
      <w:pPr>
        <w:pStyle w:val="Compact"/>
        <w:numPr>
          <w:ilvl w:val="0"/>
          <w:numId w:val="1013"/>
        </w:numPr>
      </w:pPr>
      <w:r>
        <w:t xml:space="preserve">Greif accretion is delayed.</w:t>
      </w:r>
    </w:p>
    <w:p>
      <w:pPr>
        <w:pStyle w:val="Compact"/>
        <w:numPr>
          <w:ilvl w:val="0"/>
          <w:numId w:val="1013"/>
        </w:numPr>
      </w:pPr>
      <w:r>
        <w:t xml:space="preserve">Pricing implementation is slower or less complete than expected.</w:t>
      </w:r>
    </w:p>
    <w:p>
      <w:pPr>
        <w:pStyle w:val="Compact"/>
        <w:numPr>
          <w:ilvl w:val="0"/>
          <w:numId w:val="1013"/>
        </w:numPr>
      </w:pPr>
      <w:r>
        <w:t xml:space="preserve">Q3 guidance falls materially below consensus.</w:t>
      </w:r>
    </w:p>
    <w:p>
      <w:pPr>
        <w:pStyle w:val="Compact"/>
        <w:numPr>
          <w:ilvl w:val="0"/>
          <w:numId w:val="1013"/>
        </w:numPr>
      </w:pPr>
      <w:r>
        <w:t xml:space="preserve">Mill tightness creates additional freight or service costs rather than margin leverage.</w:t>
      </w:r>
    </w:p>
    <w:p>
      <w:pPr>
        <w:pStyle w:val="FirstParagraph"/>
      </w:pPr>
      <w:r>
        <w:t xml:space="preserve">The most concerning combination would be weaker demand alongside continued cost inflation, since that would undermine the expected Q3 price-and-volume step-up.</w:t>
      </w:r>
    </w:p>
    <w:bookmarkEnd w:id="30"/>
    <w:bookmarkEnd w:id="31"/>
    <w:bookmarkStart w:id="32" w:name="bottom-line"/>
    <w:p>
      <w:pPr>
        <w:pStyle w:val="Heading2"/>
      </w:pPr>
      <w:r>
        <w:t xml:space="preserve">Bottom line</w:t>
      </w:r>
    </w:p>
    <w:p>
      <w:pPr>
        <w:pStyle w:val="FirstParagraph"/>
      </w:pPr>
      <w:r>
        <w:rPr>
          <w:b/>
          <w:bCs/>
        </w:rPr>
        <w:t xml:space="preserve">The Q2 print itself appears reasonably de-risked by PKG’s June business update.</w:t>
      </w:r>
      <w:r>
        <w:t xml:space="preserve"> </w:t>
      </w:r>
      <w:r>
        <w:t xml:space="preserve">Demand was running ahead of plan, Greif was on forecast and higher volume was offsetting much of the unexpected cost pressure. The known downside consists primarily of heavy maintenance outages, the deliberate inventory rebuild and elevated freight.</w:t>
      </w:r>
    </w:p>
    <w:p>
      <w:pPr>
        <w:pStyle w:val="BodyText"/>
      </w:pPr>
      <w:r>
        <w:t xml:space="preserve">The real event is the</w:t>
      </w:r>
      <w:r>
        <w:t xml:space="preserve"> </w:t>
      </w:r>
      <w:r>
        <w:rPr>
          <w:b/>
          <w:bCs/>
        </w:rPr>
        <w:t xml:space="preserve">Q3 outlook</w:t>
      </w:r>
      <w:r>
        <w:t xml:space="preserve">. A constructive report should confirm:</w:t>
      </w:r>
    </w:p>
    <w:p>
      <w:pPr>
        <w:pStyle w:val="Compact"/>
        <w:numPr>
          <w:ilvl w:val="0"/>
          <w:numId w:val="1014"/>
        </w:numPr>
      </w:pPr>
      <w:r>
        <w:t xml:space="preserve">continued legacy corrugated growth;</w:t>
      </w:r>
    </w:p>
    <w:p>
      <w:pPr>
        <w:pStyle w:val="Compact"/>
        <w:numPr>
          <w:ilvl w:val="0"/>
          <w:numId w:val="1014"/>
        </w:numPr>
      </w:pPr>
      <w:r>
        <w:t xml:space="preserve">normal implementation of containerboard and box-price increases;</w:t>
      </w:r>
    </w:p>
    <w:p>
      <w:pPr>
        <w:pStyle w:val="Compact"/>
        <w:numPr>
          <w:ilvl w:val="0"/>
          <w:numId w:val="1014"/>
        </w:numPr>
      </w:pPr>
      <w:r>
        <w:t xml:space="preserve">Greif accretion and synergy progress;</w:t>
      </w:r>
    </w:p>
    <w:p>
      <w:pPr>
        <w:pStyle w:val="Compact"/>
        <w:numPr>
          <w:ilvl w:val="0"/>
          <w:numId w:val="1014"/>
        </w:numPr>
      </w:pPr>
      <w:r>
        <w:t xml:space="preserve">adequate inventory ahead of Q4 outages; and</w:t>
      </w:r>
    </w:p>
    <w:p>
      <w:pPr>
        <w:pStyle w:val="Compact"/>
        <w:numPr>
          <w:ilvl w:val="0"/>
          <w:numId w:val="1014"/>
        </w:numPr>
      </w:pPr>
      <w:r>
        <w:t xml:space="preserve">a clear sequential earnings increase toward approximately $3 per share.</w:t>
      </w:r>
    </w:p>
    <w:p>
      <w:pPr>
        <w:pStyle w:val="FirstParagraph"/>
      </w:pPr>
      <w:r>
        <w:t xml:space="preserve">A small Q2 EPS beat without strong Q3 guidance would be less valuable than an in-line quarter accompanied by firm demand, successful pricing and improving acquired-business profitability.</w:t>
      </w:r>
    </w:p>
    <w:bookmarkEnd w:id="32"/>
    <w:bookmarkEnd w:id="3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2" Target="https://ir.packagingcorp.com/news-releases/news-release-details/packaging-corporation-america-reports-first-quarter-2026-results?utm_source=openai" TargetMode="External" /><Relationship Type="http://schemas.openxmlformats.org/officeDocument/2006/relationships/hyperlink" Id="rId9" Target="https://ir.packagingcorp.com/news-releases/news-release-details/packaging-corporation-america-schedules-conference-call-83" TargetMode="External" /><Relationship Type="http://schemas.openxmlformats.org/officeDocument/2006/relationships/hyperlink" Id="rId15" Target="https://ir.packagingcorp.com/static-files/0e014c87-a468-4de5-85f5-536103ea6241?utm_source=openai" TargetMode="External" /><Relationship Type="http://schemas.openxmlformats.org/officeDocument/2006/relationships/hyperlink" Id="rId14" Target="https://ir.packagingcorp.com/static-files/df22d8f8-16e1-4def-867c-4bd4bcf89ebe" TargetMode="External" /><Relationship Type="http://schemas.openxmlformats.org/officeDocument/2006/relationships/hyperlink" Id="rId10" Target="https://stage.zacks.com/stock/quote/PKG/detailed-earning-estimates?icid=SITE_SECTION-SUB_SECTION-quote_nav_tracking-zcom-left_subnav_quote_navbar-detailed_earning_estimates&amp;utm_source=openai" TargetMode="External" /></Relationships>
</file>

<file path=word/_rels/footnotes.xml.rels><?xml version="1.0" encoding="UTF-8"?><Relationships xmlns="http://schemas.openxmlformats.org/package/2006/relationships"><Relationship Type="http://schemas.openxmlformats.org/officeDocument/2006/relationships/hyperlink" Id="rId12" Target="https://ir.packagingcorp.com/news-releases/news-release-details/packaging-corporation-america-reports-first-quarter-2026-results?utm_source=openai" TargetMode="External" /><Relationship Type="http://schemas.openxmlformats.org/officeDocument/2006/relationships/hyperlink" Id="rId9" Target="https://ir.packagingcorp.com/news-releases/news-release-details/packaging-corporation-america-schedules-conference-call-83" TargetMode="External" /><Relationship Type="http://schemas.openxmlformats.org/officeDocument/2006/relationships/hyperlink" Id="rId15" Target="https://ir.packagingcorp.com/static-files/0e014c87-a468-4de5-85f5-536103ea6241?utm_source=openai" TargetMode="External" /><Relationship Type="http://schemas.openxmlformats.org/officeDocument/2006/relationships/hyperlink" Id="rId14" Target="https://ir.packagingcorp.com/static-files/df22d8f8-16e1-4def-867c-4bd4bcf89ebe" TargetMode="External" /><Relationship Type="http://schemas.openxmlformats.org/officeDocument/2006/relationships/hyperlink" Id="rId10" Target="https://stage.zacks.com/stock/quote/PKG/detailed-earning-estimates?icid=SITE_SECTION-SUB_SECTION-quote_nav_tracking-zcom-left_subnav_quote_navbar-detailed_earning_estimates&amp;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2026-07-22T01:03:03Z</dcterms:created>
  <dcterms:modified xsi:type="dcterms:W3CDTF">2026-07-22T01:03:03Z</dcterms:modified>
</cp:coreProperties>
</file>

<file path=docProps/custom.xml><?xml version="1.0" encoding="utf-8"?>
<Properties xmlns="http://schemas.openxmlformats.org/officeDocument/2006/custom-properties" xmlns:vt="http://schemas.openxmlformats.org/officeDocument/2006/docPropsVTypes"/>
</file>