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14fb5fcca7c7b4eb3b20dee4cab1bd19a73794c"/>
    <w:p>
      <w:pPr>
        <w:pStyle w:val="Heading1"/>
      </w:pPr>
      <w:r>
        <w:t xml:space="preserve">Packaging Corporation of America (NYSE: PKG) — 2Q26 Earnings Preview</w:t>
      </w:r>
    </w:p>
    <w:p>
      <w:pPr>
        <w:pStyle w:val="BlockText"/>
      </w:pPr>
      <w:r>
        <w:rPr>
          <w:b/>
          <w:bCs/>
        </w:rPr>
        <w:t xml:space="preserve">Date clarification:</w:t>
      </w:r>
      <w:r>
        <w:t xml:space="preserve"> </w:t>
      </w:r>
      <w:r>
        <w:t xml:space="preserve">Today is</w:t>
      </w:r>
      <w:r>
        <w:t xml:space="preserve"> </w:t>
      </w:r>
      <w:r>
        <w:rPr>
          <w:b/>
          <w:bCs/>
        </w:rPr>
        <w:t xml:space="preserve">Wednesday, July 22, 2026</w:t>
      </w:r>
      <w:r>
        <w:t xml:space="preserve">. The event date provided is also July 22, so PKG reports</w:t>
      </w:r>
      <w:r>
        <w:t xml:space="preserve"> </w:t>
      </w:r>
      <w:r>
        <w:rPr>
          <w:b/>
          <w:bCs/>
        </w:rPr>
        <w:t xml:space="preserve">today</w:t>
      </w:r>
      <w:r>
        <w:t xml:space="preserve">, not tomorrow.</w:t>
      </w:r>
    </w:p>
    <w:bookmarkStart w:id="9" w:name="bottom-line"/>
    <w:p>
      <w:pPr>
        <w:pStyle w:val="Heading2"/>
      </w:pPr>
      <w:r>
        <w:t xml:space="preserve">Bottom line</w:t>
      </w:r>
    </w:p>
    <w:p>
      <w:pPr>
        <w:pStyle w:val="FirstParagraph"/>
      </w:pPr>
      <w:r>
        <w:t xml:space="preserve">PKG’s second-quarter report is principally a</w:t>
      </w:r>
      <w:r>
        <w:t xml:space="preserve"> </w:t>
      </w:r>
      <w:r>
        <w:rPr>
          <w:b/>
          <w:bCs/>
        </w:rPr>
        <w:t xml:space="preserve">setup-versus-delivery</w:t>
      </w:r>
      <w:r>
        <w:t xml:space="preserve"> </w:t>
      </w:r>
      <w:r>
        <w:t xml:space="preserve">quarter. Management guided to</w:t>
      </w:r>
      <w:r>
        <w:t xml:space="preserve"> </w:t>
      </w:r>
      <w:r>
        <w:rPr>
          <w:b/>
          <w:bCs/>
        </w:rPr>
        <w:t xml:space="preserve">$2.33 of adjusted EPS</w:t>
      </w:r>
      <w:r>
        <w:t xml:space="preserve">, below the $2.40 delivered in 1Q26, because higher maintenance outages, freight/fiber/chemical costs, stock-compensation expense, and a higher tax rate were expected to outweigh early-quarter price realization. The more consequential issue for investors is whether the company validates a materially better</w:t>
      </w:r>
      <w:r>
        <w:t xml:space="preserve"> </w:t>
      </w:r>
      <w:r>
        <w:rPr>
          <w:b/>
          <w:bCs/>
        </w:rPr>
        <w:t xml:space="preserve">3Q earnings trajectory</w:t>
      </w:r>
      <w:r>
        <w:t xml:space="preserve">, driven by fuller realization of the $50/ton containerboard price increase and improving performance from the acquired Greif containerboard assets.</w:t>
      </w:r>
    </w:p>
    <w:p>
      <w:pPr>
        <w:pStyle w:val="BodyText"/>
      </w:pPr>
      <w:r>
        <w:t xml:space="preserve">The stock closed at</w:t>
      </w:r>
      <w:r>
        <w:t xml:space="preserve"> </w:t>
      </w:r>
      <w:r>
        <w:rPr>
          <w:b/>
          <w:bCs/>
        </w:rPr>
        <w:t xml:space="preserve">$228.25 on July 21</w:t>
      </w:r>
      <w:r>
        <w:t xml:space="preserve">, up roughly</w:t>
      </w:r>
      <w:r>
        <w:t xml:space="preserve"> </w:t>
      </w:r>
      <w:r>
        <w:rPr>
          <w:b/>
          <w:bCs/>
        </w:rPr>
        <w:t xml:space="preserve">11% since the April 22 first-quarter release</w:t>
      </w:r>
      <w:r>
        <w:t xml:space="preserve">, suggesting investors may already be looking through 2Q cost pressure toward price/cost improvement and Greif synergy delivery.</w:t>
      </w:r>
    </w:p>
    <w:bookmarkEnd w:id="9"/>
    <w:bookmarkStart w:id="10" w:name="what-management-told-investors-to-expect"/>
    <w:p>
      <w:pPr>
        <w:pStyle w:val="Heading2"/>
      </w:pPr>
      <w:r>
        <w:t xml:space="preserve">What management told investors to expect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 issue</w:t>
            </w:r>
          </w:p>
        </w:tc>
        <w:tc>
          <w:tcPr/>
          <w:p>
            <w:pPr>
              <w:pStyle w:val="Compact"/>
            </w:pPr>
            <w:r>
              <w:t xml:space="preserve">2Q26 expectation set in April</w:t>
            </w:r>
          </w:p>
        </w:tc>
      </w:tr>
      <w:tr>
        <w:tc>
          <w:tcPr/>
          <w:p>
            <w:pPr>
              <w:pStyle w:val="Compact"/>
            </w:pPr>
            <w:r>
              <w:rPr>
                <w:b/>
                <w:bCs/>
              </w:rPr>
              <w:t xml:space="preserve">Adjusted EPS</w:t>
            </w:r>
          </w:p>
        </w:tc>
        <w:tc>
          <w:tcPr/>
          <w:p>
            <w:pPr>
              <w:pStyle w:val="Compact"/>
            </w:pPr>
            <w:r>
              <w:rPr>
                <w:b/>
                <w:bCs/>
              </w:rPr>
              <w:t xml:space="preserve">$2.33</w:t>
            </w:r>
          </w:p>
        </w:tc>
      </w:tr>
      <w:tr>
        <w:tc>
          <w:tcPr/>
          <w:p>
            <w:pPr>
              <w:pStyle w:val="Compact"/>
            </w:pPr>
            <w:r>
              <w:t xml:space="preserve">Packaging demand</w:t>
            </w:r>
          </w:p>
        </w:tc>
        <w:tc>
          <w:tcPr/>
          <w:p>
            <w:pPr>
              <w:pStyle w:val="Compact"/>
            </w:pPr>
            <w:r>
              <w:t xml:space="preserve">Strong; corrugated volumes higher sequentially with one extra shipping day and seasonal improvement</w:t>
            </w:r>
          </w:p>
        </w:tc>
      </w:tr>
      <w:tr>
        <w:tc>
          <w:tcPr/>
          <w:p>
            <w:pPr>
              <w:pStyle w:val="Compact"/>
            </w:pPr>
            <w:r>
              <w:t xml:space="preserve">Pricing</w:t>
            </w:r>
          </w:p>
        </w:tc>
        <w:tc>
          <w:tcPr/>
          <w:p>
            <w:pPr>
              <w:pStyle w:val="Compact"/>
            </w:pPr>
            <w:r>
              <w:t xml:space="preserve">Some benefit in 2Q;</w:t>
            </w:r>
            <w:r>
              <w:t xml:space="preserve"> </w:t>
            </w:r>
            <w:r>
              <w:rPr>
                <w:b/>
                <w:bCs/>
              </w:rPr>
              <w:t xml:space="preserve">majority of price realization expected in 3Q</w:t>
            </w:r>
          </w:p>
        </w:tc>
      </w:tr>
      <w:tr>
        <w:tc>
          <w:tcPr/>
          <w:p>
            <w:pPr>
              <w:pStyle w:val="Compact"/>
            </w:pPr>
            <w:r>
              <w:t xml:space="preserve">Packaging production</w:t>
            </w:r>
          </w:p>
        </w:tc>
        <w:tc>
          <w:tcPr/>
          <w:p>
            <w:pPr>
              <w:pStyle w:val="Compact"/>
            </w:pPr>
            <w:r>
              <w:t xml:space="preserve">Slightly higher despite outages</w:t>
            </w:r>
          </w:p>
        </w:tc>
      </w:tr>
      <w:tr>
        <w:tc>
          <w:tcPr/>
          <w:p>
            <w:pPr>
              <w:pStyle w:val="Compact"/>
            </w:pPr>
            <w:r>
              <w:t xml:space="preserve">Maintenance outages</w:t>
            </w:r>
          </w:p>
        </w:tc>
        <w:tc>
          <w:tcPr/>
          <w:p>
            <w:pPr>
              <w:pStyle w:val="Compact"/>
            </w:pPr>
            <w:r>
              <w:t xml:space="preserve">Higher costs, including outages at Tomahawk, Filer City, and Wallula, following Counce and Jackson work</w:t>
            </w:r>
          </w:p>
        </w:tc>
      </w:tr>
      <w:tr>
        <w:tc>
          <w:tcPr/>
          <w:p>
            <w:pPr>
              <w:pStyle w:val="Compact"/>
            </w:pPr>
            <w:r>
              <w:t xml:space="preserve">Paper</w:t>
            </w:r>
          </w:p>
        </w:tc>
        <w:tc>
          <w:tcPr/>
          <w:p>
            <w:pPr>
              <w:pStyle w:val="Compact"/>
            </w:pPr>
            <w:r>
              <w:t xml:space="preserve">Flat volume, higher prices; operations running at full capacity</w:t>
            </w:r>
          </w:p>
        </w:tc>
      </w:tr>
      <w:tr>
        <w:tc>
          <w:tcPr/>
          <w:p>
            <w:pPr>
              <w:pStyle w:val="Compact"/>
            </w:pPr>
            <w:r>
              <w:t xml:space="preserve">Costs</w:t>
            </w:r>
          </w:p>
        </w:tc>
        <w:tc>
          <w:tcPr/>
          <w:p>
            <w:pPr>
              <w:pStyle w:val="Compact"/>
            </w:pPr>
            <w:r>
              <w:t xml:space="preserve">Freight, recycled fiber, wood fiber, and chemicals higher; energy seasonally lower</w:t>
            </w:r>
          </w:p>
        </w:tc>
      </w:tr>
      <w:tr>
        <w:tc>
          <w:tcPr/>
          <w:p>
            <w:pPr>
              <w:pStyle w:val="Compact"/>
            </w:pPr>
            <w:r>
              <w:t xml:space="preserve">Tax rate</w:t>
            </w:r>
          </w:p>
        </w:tc>
        <w:tc>
          <w:tcPr/>
          <w:p>
            <w:pPr>
              <w:pStyle w:val="Compact"/>
            </w:pPr>
            <w:r>
              <w:t xml:space="preserve">Approximately</w:t>
            </w:r>
            <w:r>
              <w:t xml:space="preserve"> </w:t>
            </w:r>
            <w:r>
              <w:rPr>
                <w:b/>
                <w:bCs/>
              </w:rPr>
              <w:t xml:space="preserve">26%</w:t>
            </w:r>
            <w:r>
              <w:t xml:space="preserve">, versus just under 23% in 1Q</w:t>
            </w:r>
          </w:p>
        </w:tc>
      </w:tr>
      <w:tr>
        <w:tc>
          <w:tcPr/>
          <w:p>
            <w:pPr>
              <w:pStyle w:val="Compact"/>
            </w:pPr>
            <w:r>
              <w:t xml:space="preserve">Greif</w:t>
            </w:r>
          </w:p>
        </w:tc>
        <w:tc>
          <w:tcPr/>
          <w:p>
            <w:pPr>
              <w:pStyle w:val="Compact"/>
            </w:pPr>
            <w:r>
              <w:t xml:space="preserve">Expected to turn accretive in 2Q, with about</w:t>
            </w:r>
            <w:r>
              <w:t xml:space="preserve"> </w:t>
            </w:r>
            <w:r>
              <w:rPr>
                <w:b/>
                <w:bCs/>
              </w:rPr>
              <w:t xml:space="preserve">$0.10/share sequential improvement</w:t>
            </w:r>
            <w:r>
              <w:t xml:space="preserve"> </w:t>
            </w:r>
            <w:r>
              <w:t xml:space="preserve">from 1Q</w:t>
            </w:r>
          </w:p>
        </w:tc>
      </w:tr>
    </w:tbl>
    <w:bookmarkEnd w:id="10"/>
    <w:bookmarkStart w:id="11" w:name="X4ad80de01da237dcdb6a07b138fcbb77ab28a2b"/>
    <w:p>
      <w:pPr>
        <w:pStyle w:val="Heading2"/>
      </w:pPr>
      <w:r>
        <w:t xml:space="preserve">The core debate: can PKG convert price into a 3Q step-up?</w:t>
      </w:r>
    </w:p>
    <w:p>
      <w:pPr>
        <w:pStyle w:val="FirstParagraph"/>
      </w:pPr>
      <w:r>
        <w:t xml:space="preserve">At 1Q earnings, management said reported containerboard prices had risen a net</w:t>
      </w:r>
      <w:r>
        <w:t xml:space="preserve"> </w:t>
      </w:r>
      <w:r>
        <w:rPr>
          <w:b/>
          <w:bCs/>
        </w:rPr>
        <w:t xml:space="preserve">$50 per ton</w:t>
      </w:r>
      <w:r>
        <w:t xml:space="preserve"> </w:t>
      </w:r>
      <w:r>
        <w:t xml:space="preserve">from the start of the year. However, pricing had not contributed meaningfully in 1Q because implementation timing was delayed; the company expected benefits to begin in May, expand in June, and become much more meaningful in 3Q.</w:t>
      </w:r>
    </w:p>
    <w:p>
      <w:pPr>
        <w:pStyle w:val="BodyText"/>
      </w:pPr>
      <w:r>
        <w:t xml:space="preserve">That makes the upcoming call less about whether PKG meets $2.33 and more about four questions:</w:t>
      </w:r>
    </w:p>
    <w:p>
      <w:pPr>
        <w:numPr>
          <w:ilvl w:val="0"/>
          <w:numId w:val="1001"/>
        </w:numPr>
      </w:pPr>
      <w:r>
        <w:rPr>
          <w:b/>
          <w:bCs/>
        </w:rPr>
        <w:t xml:space="preserve">Was the 2Q price realization on schedule?</w:t>
      </w:r>
      <w:r>
        <w:br/>
      </w:r>
      <w:r>
        <w:t xml:space="preserve">Commentary on actual box/containerboard realization, contract versus non-contract implementation, and the residual 3Q carryover will be central.</w:t>
      </w:r>
    </w:p>
    <w:p>
      <w:pPr>
        <w:numPr>
          <w:ilvl w:val="0"/>
          <w:numId w:val="1001"/>
        </w:numPr>
      </w:pPr>
      <w:r>
        <w:rPr>
          <w:b/>
          <w:bCs/>
        </w:rPr>
        <w:t xml:space="preserve">Is price sufficient to offset elevated inputs?</w:t>
      </w:r>
      <w:r>
        <w:br/>
      </w:r>
      <w:r>
        <w:t xml:space="preserve">Management previously quantified freight, fiber, and chemical costs as roughly</w:t>
      </w:r>
      <w:r>
        <w:t xml:space="preserve"> </w:t>
      </w:r>
      <w:r>
        <w:rPr>
          <w:b/>
          <w:bCs/>
        </w:rPr>
        <w:t xml:space="preserve">$0.15/share higher sequentially</w:t>
      </w:r>
      <w:r>
        <w:t xml:space="preserve"> </w:t>
      </w:r>
      <w:r>
        <w:t xml:space="preserve">in 2Q. Investors will want an updated view of whether these costs stabilized, worsened, or have begun to normalize.</w:t>
      </w:r>
    </w:p>
    <w:p>
      <w:pPr>
        <w:numPr>
          <w:ilvl w:val="0"/>
          <w:numId w:val="1001"/>
        </w:numPr>
      </w:pPr>
      <w:r>
        <w:rPr>
          <w:b/>
          <w:bCs/>
        </w:rPr>
        <w:t xml:space="preserve">Does the company still see a pronounced 2Q-to-3Q earnings inflection?</w:t>
      </w:r>
      <w:r>
        <w:br/>
      </w:r>
      <w:r>
        <w:t xml:space="preserve">Management was unusually direct in April that “the big benefit” from pricing would arrive in 3Q. Confirmation—or moderation—of that framing will likely drive the share reaction more than the reported quarter alone.</w:t>
      </w:r>
    </w:p>
    <w:p>
      <w:pPr>
        <w:numPr>
          <w:ilvl w:val="0"/>
          <w:numId w:val="1001"/>
        </w:numPr>
      </w:pPr>
      <w:r>
        <w:rPr>
          <w:b/>
          <w:bCs/>
        </w:rPr>
        <w:t xml:space="preserve">Can tight linerboard supply remain an advantage without causing service or operating issues?</w:t>
      </w:r>
      <w:r>
        <w:br/>
      </w:r>
      <w:r>
        <w:t xml:space="preserve">PKG said its mill system was running at full capacity, supported by a tight linerboard market. Strong execution supports pricing and mix; any operational disruption would be especially costly in a tight system.</w:t>
      </w:r>
    </w:p>
    <w:bookmarkEnd w:id="11"/>
    <w:bookmarkStart w:id="13" w:name="Xf54afd15bf018958f404fddea90ad8c382db3b4"/>
    <w:p>
      <w:pPr>
        <w:pStyle w:val="Heading2"/>
      </w:pPr>
      <w:r>
        <w:t xml:space="preserve">Greif acquisition: the most important execution variable</w:t>
      </w:r>
    </w:p>
    <w:p>
      <w:pPr>
        <w:pStyle w:val="FirstParagraph"/>
      </w:pPr>
      <w:r>
        <w:t xml:space="preserve">PKG acquired Greif’s containerboard business in September 2025 for approximately</w:t>
      </w:r>
      <w:r>
        <w:t xml:space="preserve"> </w:t>
      </w:r>
      <w:r>
        <w:rPr>
          <w:b/>
          <w:bCs/>
        </w:rPr>
        <w:t xml:space="preserve">$1.8 billion</w:t>
      </w:r>
      <w:r>
        <w:t xml:space="preserve">, adding two mills with roughly</w:t>
      </w:r>
      <w:r>
        <w:t xml:space="preserve"> </w:t>
      </w:r>
      <w:r>
        <w:rPr>
          <w:b/>
          <w:bCs/>
        </w:rPr>
        <w:t xml:space="preserve">800,000 tons</w:t>
      </w:r>
      <w:r>
        <w:t xml:space="preserve"> </w:t>
      </w:r>
      <w:r>
        <w:t xml:space="preserve">of capacity plus eight sheet feeder/corrugated plants. The transaction expanded PKG’s scale, but it also increased depreciation, amortization, interest expense, and integration complexity.</w:t>
      </w:r>
    </w:p>
    <w:bookmarkStart w:id="12" w:name="why-2q-matters"/>
    <w:p>
      <w:pPr>
        <w:pStyle w:val="Heading3"/>
      </w:pPr>
      <w:r>
        <w:t xml:space="preserve">Why 2Q matters</w:t>
      </w:r>
    </w:p>
    <w:p>
      <w:pPr>
        <w:pStyle w:val="FirstParagraph"/>
      </w:pPr>
      <w:r>
        <w:t xml:space="preserve">The Greif assets produced a</w:t>
      </w:r>
      <w:r>
        <w:t xml:space="preserve"> </w:t>
      </w:r>
      <w:r>
        <w:rPr>
          <w:b/>
          <w:bCs/>
        </w:rPr>
        <w:t xml:space="preserve">$0.06/share loss in 1Q</w:t>
      </w:r>
      <w:r>
        <w:t xml:space="preserve">, hurt by a January winter storm at Riverville, unfavorable seasonal mix, freight and recycled-fiber costs, and integration work. Yet management’s operational commentary was constructive:</w:t>
      </w:r>
    </w:p>
    <w:p>
      <w:pPr>
        <w:pStyle w:val="Compact"/>
        <w:numPr>
          <w:ilvl w:val="0"/>
          <w:numId w:val="1002"/>
        </w:numPr>
      </w:pPr>
      <w:r>
        <w:t xml:space="preserve">Riverville productivity in February was about</w:t>
      </w:r>
      <w:r>
        <w:t xml:space="preserve"> </w:t>
      </w:r>
      <w:r>
        <w:rPr>
          <w:b/>
          <w:bCs/>
        </w:rPr>
        <w:t xml:space="preserve">10% above</w:t>
      </w:r>
      <w:r>
        <w:t xml:space="preserve"> </w:t>
      </w:r>
      <w:r>
        <w:t xml:space="preserve">its level at acquisition.</w:t>
      </w:r>
    </w:p>
    <w:p>
      <w:pPr>
        <w:pStyle w:val="Compact"/>
        <w:numPr>
          <w:ilvl w:val="0"/>
          <w:numId w:val="1002"/>
        </w:numPr>
      </w:pPr>
      <w:r>
        <w:t xml:space="preserve">Management expected a</w:t>
      </w:r>
      <w:r>
        <w:t xml:space="preserve"> </w:t>
      </w:r>
      <m:oMath>
        <m:r>
          <m:t>15</m:t>
        </m:r>
        <m:r>
          <m:t>m</m:t>
        </m:r>
        <m:r>
          <m:t>i</m:t>
        </m:r>
        <m:r>
          <m:t>l</m:t>
        </m:r>
        <m:r>
          <m:t>l</m:t>
        </m:r>
        <m:r>
          <m:t>i</m:t>
        </m:r>
        <m:r>
          <m:t>o</m:t>
        </m:r>
        <m:r>
          <m:t>n</m:t>
        </m:r>
        <m:r>
          <m:rPr>
            <m:sty m:val="p"/>
          </m:rPr>
          <m:t>–</m:t>
        </m:r>
      </m:oMath>
      <w:r>
        <w:rPr>
          <w:b/>
          <w:bCs/>
        </w:rPr>
        <w:t xml:space="preserve">20 million annualized run rate</w:t>
      </w:r>
      <w:r>
        <w:t xml:space="preserve"> </w:t>
      </w:r>
      <w:r>
        <w:t xml:space="preserve">of mill-productivity gains.</w:t>
      </w:r>
    </w:p>
    <w:p>
      <w:pPr>
        <w:pStyle w:val="Compact"/>
        <w:numPr>
          <w:ilvl w:val="0"/>
          <w:numId w:val="1002"/>
        </w:numPr>
      </w:pPr>
      <w:r>
        <w:t xml:space="preserve">PKG remained on track for a</w:t>
      </w:r>
      <w:r>
        <w:t xml:space="preserve"> </w:t>
      </w:r>
      <w:r>
        <w:rPr>
          <w:b/>
          <w:bCs/>
        </w:rPr>
        <w:t xml:space="preserve">$30 million synergy run rate by year-end</w:t>
      </w:r>
      <w:r>
        <w:t xml:space="preserve">, versus a longer-term $60 million synergy target.</w:t>
      </w:r>
    </w:p>
    <w:p>
      <w:pPr>
        <w:pStyle w:val="Compact"/>
        <w:numPr>
          <w:ilvl w:val="0"/>
          <w:numId w:val="1002"/>
        </w:numPr>
      </w:pPr>
      <w:r>
        <w:t xml:space="preserve">Greif was forecast to improve by roughly</w:t>
      </w:r>
      <w:r>
        <w:t xml:space="preserve"> </w:t>
      </w:r>
      <w:r>
        <w:rPr>
          <w:b/>
          <w:bCs/>
        </w:rPr>
        <w:t xml:space="preserve">$0.10/share sequentially in 2Q</w:t>
      </w:r>
      <w:r>
        <w:t xml:space="preserve"> </w:t>
      </w:r>
      <w:r>
        <w:t xml:space="preserve">and become accretive.</w:t>
      </w:r>
    </w:p>
    <w:p>
      <w:pPr>
        <w:pStyle w:val="FirstParagraph"/>
      </w:pPr>
      <w:r>
        <w:rPr>
          <w:b/>
          <w:bCs/>
        </w:rPr>
        <w:t xml:space="preserve">Investor focus:</w:t>
      </w:r>
      <w:r>
        <w:t xml:space="preserve"> </w:t>
      </w:r>
      <w:r>
        <w:t xml:space="preserve">A credible bridge from 1Q’s loss to 2Q accretion—especially supported by mix, mill productivity, freight optimization, and inventory reduction—would strengthen confidence that the acquisition is moving from dilution to earnings leverage. Conversely, another underperformance would sharpen concerns about the acquisition’s cost burden: Greif added approximately $34 million of quarterly depreciation/amortization and $19 million of additional quarterly interest expense in 1Q.</w:t>
      </w:r>
    </w:p>
    <w:bookmarkEnd w:id="12"/>
    <w:bookmarkEnd w:id="13"/>
    <w:bookmarkStart w:id="14" w:name="X7297927bf4a26675f155c66d6a333b9fdf9a9ff"/>
    <w:p>
      <w:pPr>
        <w:pStyle w:val="Heading2"/>
      </w:pPr>
      <w:r>
        <w:t xml:space="preserve">Demand: PKG appears better positioned than the broader industry</w:t>
      </w:r>
    </w:p>
    <w:p>
      <w:pPr>
        <w:pStyle w:val="FirstParagraph"/>
      </w:pPr>
      <w:r>
        <w:t xml:space="preserve">PKG entered 2Q with a favorable company-specific demand backdrop:</w:t>
      </w:r>
    </w:p>
    <w:p>
      <w:pPr>
        <w:pStyle w:val="Compact"/>
        <w:numPr>
          <w:ilvl w:val="0"/>
          <w:numId w:val="1003"/>
        </w:numPr>
      </w:pPr>
      <w:r>
        <w:t xml:space="preserve">Legacy corrugated shipments rose</w:t>
      </w:r>
      <w:r>
        <w:t xml:space="preserve"> </w:t>
      </w:r>
      <w:r>
        <w:rPr>
          <w:b/>
          <w:bCs/>
        </w:rPr>
        <w:t xml:space="preserve">2.8% per day</w:t>
      </w:r>
      <w:r>
        <w:t xml:space="preserve"> </w:t>
      </w:r>
      <w:r>
        <w:t xml:space="preserve">in 1Q.</w:t>
      </w:r>
    </w:p>
    <w:p>
      <w:pPr>
        <w:pStyle w:val="Compact"/>
        <w:numPr>
          <w:ilvl w:val="0"/>
          <w:numId w:val="1003"/>
        </w:numPr>
      </w:pPr>
      <w:r>
        <w:t xml:space="preserve">April legacy bookings and billings were reported up approximately</w:t>
      </w:r>
      <w:r>
        <w:t xml:space="preserve"> </w:t>
      </w:r>
      <w:r>
        <w:rPr>
          <w:b/>
          <w:bCs/>
        </w:rPr>
        <w:t xml:space="preserve">4.5%</w:t>
      </w:r>
      <w:r>
        <w:t xml:space="preserve">.</w:t>
      </w:r>
    </w:p>
    <w:p>
      <w:pPr>
        <w:pStyle w:val="Compact"/>
        <w:numPr>
          <w:ilvl w:val="0"/>
          <w:numId w:val="1003"/>
        </w:numPr>
      </w:pPr>
      <w:r>
        <w:t xml:space="preserve">Management described customer ordering patterns as resilient, with particular strength in food and beverage and improving building-products demand.</w:t>
      </w:r>
    </w:p>
    <w:p>
      <w:pPr>
        <w:pStyle w:val="Compact"/>
        <w:numPr>
          <w:ilvl w:val="0"/>
          <w:numId w:val="1003"/>
        </w:numPr>
      </w:pPr>
      <w:r>
        <w:t xml:space="preserve">In contrast, industry-wide corrugated shipments were down</w:t>
      </w:r>
      <w:r>
        <w:t xml:space="preserve"> </w:t>
      </w:r>
      <w:r>
        <w:rPr>
          <w:b/>
          <w:bCs/>
        </w:rPr>
        <w:t xml:space="preserve">0.3% per workday</w:t>
      </w:r>
      <w:r>
        <w:t xml:space="preserve"> </w:t>
      </w:r>
      <w:r>
        <w:t xml:space="preserve">in 1Q, according to trade-publication data cited in PKG’s 10-Q.</w:t>
      </w:r>
    </w:p>
    <w:p>
      <w:pPr>
        <w:pStyle w:val="FirstParagraph"/>
      </w:pPr>
      <w:r>
        <w:t xml:space="preserve">This divergence indicates either share gains, a more resilient customer mix, or both. The report should clarify whether PKG sustained above-industry volume growth through May and June. That is important because higher price realization is most valuable if shipments and mix remain firm.</w:t>
      </w:r>
    </w:p>
    <w:bookmarkEnd w:id="14"/>
    <w:bookmarkStart w:id="15" w:name="Xcc5ad0d1c9c229df69fc7d92d422f50a213a63b"/>
    <w:p>
      <w:pPr>
        <w:pStyle w:val="Heading2"/>
      </w:pPr>
      <w:r>
        <w:t xml:space="preserve">Cost and outage headwinds: the key risk to a 2Q beat</w:t>
      </w:r>
    </w:p>
    <w:p>
      <w:pPr>
        <w:pStyle w:val="FirstParagraph"/>
      </w:pPr>
      <w:r>
        <w:t xml:space="preserve">PKG’s own 2Q framework contained meaningful costs:</w:t>
      </w:r>
    </w:p>
    <w:p>
      <w:pPr>
        <w:pStyle w:val="Compact"/>
        <w:numPr>
          <w:ilvl w:val="0"/>
          <w:numId w:val="1004"/>
        </w:numPr>
      </w:pPr>
      <w:r>
        <w:rPr>
          <w:b/>
          <w:bCs/>
        </w:rPr>
        <w:t xml:space="preserve">Maintenance-outage expense:</w:t>
      </w:r>
      <w:r>
        <w:t xml:space="preserve"> </w:t>
      </w:r>
      <w:r>
        <w:t xml:space="preserve">$0.36/share in 2Q versus $0.14 in 1Q.</w:t>
      </w:r>
    </w:p>
    <w:p>
      <w:pPr>
        <w:pStyle w:val="Compact"/>
        <w:numPr>
          <w:ilvl w:val="0"/>
          <w:numId w:val="1004"/>
        </w:numPr>
      </w:pPr>
      <w:r>
        <w:rPr>
          <w:b/>
          <w:bCs/>
        </w:rPr>
        <w:t xml:space="preserve">Freight, fiber, and chemicals:</w:t>
      </w:r>
      <w:r>
        <w:t xml:space="preserve"> </w:t>
      </w:r>
      <w:r>
        <w:t xml:space="preserve">approximately</w:t>
      </w:r>
      <w:r>
        <w:t xml:space="preserve"> </w:t>
      </w:r>
      <w:r>
        <w:rPr>
          <w:b/>
          <w:bCs/>
        </w:rPr>
        <w:t xml:space="preserve">$0.15/share</w:t>
      </w:r>
      <w:r>
        <w:t xml:space="preserve"> </w:t>
      </w:r>
      <w:r>
        <w:t xml:space="preserve">higher sequentially.</w:t>
      </w:r>
    </w:p>
    <w:p>
      <w:pPr>
        <w:pStyle w:val="Compact"/>
        <w:numPr>
          <w:ilvl w:val="0"/>
          <w:numId w:val="1004"/>
        </w:numPr>
      </w:pPr>
      <w:r>
        <w:rPr>
          <w:b/>
          <w:bCs/>
        </w:rPr>
        <w:t xml:space="preserve">Share-based compensation:</w:t>
      </w:r>
      <w:r>
        <w:t xml:space="preserve"> </w:t>
      </w:r>
      <w:r>
        <w:t xml:space="preserve">about $6 million higher year over year in 2Q, with elevated expense continuing through 2028 before stepping down.</w:t>
      </w:r>
    </w:p>
    <w:p>
      <w:pPr>
        <w:pStyle w:val="Compact"/>
        <w:numPr>
          <w:ilvl w:val="0"/>
          <w:numId w:val="1004"/>
        </w:numPr>
      </w:pPr>
      <w:r>
        <w:rPr>
          <w:b/>
          <w:bCs/>
        </w:rPr>
        <w:t xml:space="preserve">Taxes:</w:t>
      </w:r>
      <w:r>
        <w:t xml:space="preserve"> </w:t>
      </w:r>
      <w:r>
        <w:t xml:space="preserve">approximately 26% in 2Q, versus a favorable sub-23% rate in 1Q.</w:t>
      </w:r>
    </w:p>
    <w:p>
      <w:pPr>
        <w:pStyle w:val="Compact"/>
        <w:numPr>
          <w:ilvl w:val="0"/>
          <w:numId w:val="1004"/>
        </w:numPr>
      </w:pPr>
      <w:r>
        <w:rPr>
          <w:b/>
          <w:bCs/>
        </w:rPr>
        <w:t xml:space="preserve">Depreciation and amortization:</w:t>
      </w:r>
      <w:r>
        <w:t xml:space="preserve"> </w:t>
      </w:r>
      <w:r>
        <w:t xml:space="preserve">another approximately $0.03/share sequential headwind.</w:t>
      </w:r>
    </w:p>
    <w:p>
      <w:pPr>
        <w:pStyle w:val="FirstParagraph"/>
      </w:pPr>
      <w:r>
        <w:t xml:space="preserve">This is why a modest 2Q earnings decline was anticipated even as underlying demand and pricing improved. An EPS result above guidance would be most credible if driven by better volumes, pricing/mix, Greif execution, and mill performance—not merely a lower tax rate or other transitory items.</w:t>
      </w:r>
    </w:p>
    <w:bookmarkEnd w:id="15"/>
    <w:bookmarkStart w:id="16" w:name="earnings-context"/>
    <w:p>
      <w:pPr>
        <w:pStyle w:val="Heading2"/>
      </w:pPr>
      <w:r>
        <w:t xml:space="preserve">Earnings context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jc w:val="right"/>
            </w:pPr>
            <w:r>
              <w:t xml:space="preserve">1Q26 actual</w:t>
            </w:r>
          </w:p>
        </w:tc>
        <w:tc>
          <w:tcPr/>
          <w:p>
            <w:pPr>
              <w:pStyle w:val="Compact"/>
              <w:jc w:val="right"/>
            </w:pPr>
            <w:r>
              <w:t xml:space="preserve">2Q26 management outlook</w:t>
            </w:r>
          </w:p>
        </w:tc>
        <w:tc>
          <w:tcPr/>
          <w:p>
            <w:pPr>
              <w:pStyle w:val="Compact"/>
              <w:jc w:val="right"/>
            </w:pPr>
            <w:r>
              <w:t xml:space="preserve">2Q25 actual</w:t>
            </w:r>
          </w:p>
        </w:tc>
      </w:tr>
      <w:tr>
        <w:tc>
          <w:tcPr/>
          <w:p>
            <w:pPr>
              <w:pStyle w:val="Compact"/>
            </w:pPr>
            <w:r>
              <w:t xml:space="preserve">Adjusted diluted EPS</w:t>
            </w:r>
          </w:p>
        </w:tc>
        <w:tc>
          <w:tcPr/>
          <w:p>
            <w:pPr>
              <w:pStyle w:val="Compact"/>
              <w:jc w:val="right"/>
            </w:pPr>
            <w:r>
              <w:rPr>
                <w:b/>
                <w:bCs/>
              </w:rPr>
              <w:t xml:space="preserve">$2.40</w:t>
            </w:r>
          </w:p>
        </w:tc>
        <w:tc>
          <w:tcPr/>
          <w:p>
            <w:pPr>
              <w:pStyle w:val="Compact"/>
              <w:jc w:val="right"/>
            </w:pPr>
            <w:r>
              <w:rPr>
                <w:b/>
                <w:bCs/>
              </w:rPr>
              <w:t xml:space="preserve">$2.33</w:t>
            </w:r>
          </w:p>
        </w:tc>
        <w:tc>
          <w:tcPr/>
          <w:p>
            <w:pPr>
              <w:pStyle w:val="Compact"/>
              <w:jc w:val="right"/>
            </w:pPr>
            <w:r>
              <w:rPr>
                <w:b/>
                <w:bCs/>
              </w:rPr>
              <w:t xml:space="preserve">$2.48</w:t>
            </w:r>
          </w:p>
        </w:tc>
      </w:tr>
      <w:tr>
        <w:tc>
          <w:tcPr/>
          <w:p>
            <w:pPr>
              <w:pStyle w:val="Compact"/>
            </w:pPr>
            <w:r>
              <w:t xml:space="preserve">Net sales</w:t>
            </w:r>
          </w:p>
        </w:tc>
        <w:tc>
          <w:tcPr/>
          <w:p>
            <w:pPr>
              <w:pStyle w:val="Compact"/>
              <w:jc w:val="right"/>
            </w:pPr>
            <w:r>
              <w:t xml:space="preserve">$2.37B</w:t>
            </w:r>
          </w:p>
        </w:tc>
        <w:tc>
          <w:tcPr/>
          <w:p>
            <w:pPr>
              <w:pStyle w:val="Compact"/>
              <w:jc w:val="right"/>
            </w:pPr>
            <w:r>
              <w:t xml:space="preserve">N/A</w:t>
            </w:r>
          </w:p>
        </w:tc>
        <w:tc>
          <w:tcPr/>
          <w:p>
            <w:pPr>
              <w:pStyle w:val="Compact"/>
              <w:jc w:val="right"/>
            </w:pPr>
            <w:r>
              <w:t xml:space="preserve">$2.17B</w:t>
            </w:r>
          </w:p>
        </w:tc>
      </w:tr>
      <w:tr>
        <w:tc>
          <w:tcPr/>
          <w:p>
            <w:pPr>
              <w:pStyle w:val="Compact"/>
            </w:pPr>
            <w:r>
              <w:t xml:space="preserve">Adjusted EBITDA</w:t>
            </w:r>
          </w:p>
        </w:tc>
        <w:tc>
          <w:tcPr/>
          <w:p>
            <w:pPr>
              <w:pStyle w:val="Compact"/>
              <w:jc w:val="right"/>
            </w:pPr>
            <w:r>
              <w:t xml:space="preserve">$485.5M</w:t>
            </w:r>
          </w:p>
        </w:tc>
        <w:tc>
          <w:tcPr/>
          <w:p>
            <w:pPr>
              <w:pStyle w:val="Compact"/>
              <w:jc w:val="right"/>
            </w:pPr>
            <w:r>
              <w:t xml:space="preserve">N/A</w:t>
            </w:r>
          </w:p>
        </w:tc>
        <w:tc>
          <w:tcPr/>
          <w:p>
            <w:pPr>
              <w:pStyle w:val="Compact"/>
              <w:jc w:val="right"/>
            </w:pPr>
            <w:r>
              <w:t xml:space="preserve">$450.8M</w:t>
            </w:r>
          </w:p>
        </w:tc>
      </w:tr>
      <w:tr>
        <w:tc>
          <w:tcPr/>
          <w:p>
            <w:pPr>
              <w:pStyle w:val="Compact"/>
            </w:pPr>
            <w:r>
              <w:t xml:space="preserve">Packaging adjusted EBITDA</w:t>
            </w:r>
          </w:p>
        </w:tc>
        <w:tc>
          <w:tcPr/>
          <w:p>
            <w:pPr>
              <w:pStyle w:val="Compact"/>
              <w:jc w:val="right"/>
            </w:pPr>
            <w:r>
              <w:t xml:space="preserve">$481.8M</w:t>
            </w:r>
          </w:p>
        </w:tc>
        <w:tc>
          <w:tcPr/>
          <w:p>
            <w:pPr>
              <w:pStyle w:val="Compact"/>
              <w:jc w:val="right"/>
            </w:pPr>
            <w:r>
              <w:t xml:space="preserve">N/A</w:t>
            </w:r>
          </w:p>
        </w:tc>
        <w:tc>
          <w:tcPr/>
          <w:p>
            <w:pPr>
              <w:pStyle w:val="Compact"/>
              <w:jc w:val="right"/>
            </w:pPr>
            <w:r>
              <w:t xml:space="preserve">$452.9M</w:t>
            </w:r>
          </w:p>
        </w:tc>
      </w:tr>
    </w:tbl>
    <w:p>
      <w:pPr>
        <w:pStyle w:val="BodyText"/>
      </w:pPr>
      <w:r>
        <w:t xml:space="preserve">Year-over-year EPS comparisons will be noisy. The Greif acquisition adds revenue and EBITDA, but it also brings significant D&amp;A and interest expense; meanwhile, 2Q26 includes materially different outage, input-cost, and price-realization timing than 2Q25.</w:t>
      </w:r>
    </w:p>
    <w:bookmarkEnd w:id="16"/>
    <w:bookmarkStart w:id="17" w:name="X9163c0c32565fedaa50fff1161a71c5d2eb225b"/>
    <w:p>
      <w:pPr>
        <w:pStyle w:val="Heading2"/>
      </w:pPr>
      <w:r>
        <w:t xml:space="preserve">Cash flow, capital allocation, and balance sheet</w:t>
      </w:r>
    </w:p>
    <w:p>
      <w:pPr>
        <w:pStyle w:val="FirstParagraph"/>
      </w:pPr>
      <w:r>
        <w:t xml:space="preserve">PKG generated</w:t>
      </w:r>
      <w:r>
        <w:t xml:space="preserve"> </w:t>
      </w:r>
      <m:oMath>
        <m:r>
          <m:t>329</m:t>
        </m:r>
        <m:r>
          <m:t>m</m:t>
        </m:r>
        <m:r>
          <m:t>i</m:t>
        </m:r>
        <m:r>
          <m:t>l</m:t>
        </m:r>
        <m:r>
          <m:t>l</m:t>
        </m:r>
        <m:r>
          <m:t>i</m:t>
        </m:r>
        <m:r>
          <m:t>o</m:t>
        </m:r>
        <m:r>
          <m:t>n</m:t>
        </m:r>
        <m:r>
          <m:rPr>
            <m:sty m:val="p"/>
          </m:rPr>
          <m:t>*</m:t>
        </m:r>
        <m:r>
          <m:rPr>
            <m:sty m:val="p"/>
          </m:rPr>
          <m:t>*</m:t>
        </m:r>
        <m:r>
          <m:t>o</m:t>
        </m:r>
        <m:r>
          <m:t>f</m:t>
        </m:r>
        <m:r>
          <m:t>o</m:t>
        </m:r>
        <m:r>
          <m:t>p</m:t>
        </m:r>
        <m:r>
          <m:t>e</m:t>
        </m:r>
        <m:r>
          <m:t>r</m:t>
        </m:r>
        <m:r>
          <m:t>a</m:t>
        </m:r>
        <m:r>
          <m:t>t</m:t>
        </m:r>
        <m:r>
          <m:t>i</m:t>
        </m:r>
        <m:r>
          <m:t>n</m:t>
        </m:r>
        <m:r>
          <m:t>g</m:t>
        </m:r>
        <m:r>
          <m:t>c</m:t>
        </m:r>
        <m:r>
          <m:t>a</m:t>
        </m:r>
        <m:r>
          <m:t>s</m:t>
        </m:r>
        <m:r>
          <m:t>h</m:t>
        </m:r>
        <m:r>
          <m:t>f</m:t>
        </m:r>
        <m:r>
          <m:t>l</m:t>
        </m:r>
        <m:r>
          <m:t>o</m:t>
        </m:r>
        <m:r>
          <m:t>w</m:t>
        </m:r>
        <m:r>
          <m:t>a</m:t>
        </m:r>
        <m:r>
          <m:t>n</m:t>
        </m:r>
        <m:r>
          <m:t>d</m:t>
        </m:r>
        <m:r>
          <m:rPr>
            <m:sty m:val="p"/>
          </m:rPr>
          <m:t>*</m:t>
        </m:r>
        <m:r>
          <m:rPr>
            <m:sty m:val="p"/>
          </m:rPr>
          <m:t>*</m:t>
        </m:r>
      </m:oMath>
      <w:r>
        <w:rPr>
          <w:b/>
          <w:bCs/>
        </w:rPr>
        <w:t xml:space="preserve">164 million</w:t>
      </w:r>
      <w:r>
        <w:t xml:space="preserve"> </w:t>
      </w:r>
      <w:r>
        <w:t xml:space="preserve">of free cash flow in 1Q after</w:t>
      </w:r>
      <w:r>
        <w:t xml:space="preserve"> </w:t>
      </w:r>
      <m:oMath>
        <m:r>
          <m:t>165</m:t>
        </m:r>
        <m:r>
          <m:t>m</m:t>
        </m:r>
        <m:r>
          <m:t>i</m:t>
        </m:r>
        <m:r>
          <m:t>l</m:t>
        </m:r>
        <m:r>
          <m:t>l</m:t>
        </m:r>
        <m:r>
          <m:t>i</m:t>
        </m:r>
        <m:r>
          <m:t>o</m:t>
        </m:r>
        <m:r>
          <m:t>n</m:t>
        </m:r>
        <m:r>
          <m:t>o</m:t>
        </m:r>
        <m:r>
          <m:t>f</m:t>
        </m:r>
        <m:r>
          <m:t>c</m:t>
        </m:r>
        <m:r>
          <m:t>a</m:t>
        </m:r>
        <m:r>
          <m:t>p</m:t>
        </m:r>
        <m:r>
          <m:t>i</m:t>
        </m:r>
        <m:r>
          <m:t>t</m:t>
        </m:r>
        <m:r>
          <m:t>a</m:t>
        </m:r>
        <m:r>
          <m:t>l</m:t>
        </m:r>
        <m:r>
          <m:t>s</m:t>
        </m:r>
        <m:r>
          <m:t>p</m:t>
        </m:r>
        <m:r>
          <m:t>e</m:t>
        </m:r>
        <m:r>
          <m:t>n</m:t>
        </m:r>
        <m:r>
          <m:t>d</m:t>
        </m:r>
        <m:r>
          <m:t>i</m:t>
        </m:r>
        <m:r>
          <m:t>n</m:t>
        </m:r>
        <m:r>
          <m:t>g</m:t>
        </m:r>
        <m:r>
          <m:rPr>
            <m:sty m:val="p"/>
          </m:rPr>
          <m:t>.</m:t>
        </m:r>
        <m:r>
          <m:t>F</m:t>
        </m:r>
        <m:r>
          <m:t>o</m:t>
        </m:r>
        <m:r>
          <m:t>r</m:t>
        </m:r>
        <m:r>
          <m:t>2026</m:t>
        </m:r>
        <m:r>
          <m:rPr>
            <m:sty m:val="p"/>
          </m:rPr>
          <m:t>,</m:t>
        </m:r>
        <m:r>
          <m:t>m</m:t>
        </m:r>
        <m:r>
          <m:t>a</m:t>
        </m:r>
        <m:r>
          <m:t>n</m:t>
        </m:r>
        <m:r>
          <m:t>a</m:t>
        </m:r>
        <m:r>
          <m:t>g</m:t>
        </m:r>
        <m:r>
          <m:t>e</m:t>
        </m:r>
        <m:r>
          <m:t>m</m:t>
        </m:r>
        <m:r>
          <m:t>e</m:t>
        </m:r>
        <m:r>
          <m:t>n</m:t>
        </m:r>
        <m:r>
          <m:t>t</m:t>
        </m:r>
        <m:r>
          <m:t>g</m:t>
        </m:r>
        <m:r>
          <m:t>u</m:t>
        </m:r>
        <m:r>
          <m:t>i</m:t>
        </m:r>
        <m:r>
          <m:t>d</m:t>
        </m:r>
        <m:r>
          <m:t>e</m:t>
        </m:r>
        <m:r>
          <m:t>d</m:t>
        </m:r>
        <m:r>
          <m:t>t</m:t>
        </m:r>
        <m:r>
          <m:t>o</m:t>
        </m:r>
        <m:r>
          <m:rPr>
            <m:sty m:val="p"/>
          </m:rPr>
          <m:t>*</m:t>
        </m:r>
        <m:r>
          <m:rPr>
            <m:sty m:val="p"/>
          </m:rPr>
          <m:t>*</m:t>
        </m:r>
      </m:oMath>
      <w:r>
        <w:t xml:space="preserve">840 million–</w:t>
      </w:r>
      <m:oMath>
        <m:r>
          <m:t>870</m:t>
        </m:r>
        <m:r>
          <m:t>m</m:t>
        </m:r>
        <m:r>
          <m:t>i</m:t>
        </m:r>
        <m:r>
          <m:t>l</m:t>
        </m:r>
        <m:r>
          <m:t>l</m:t>
        </m:r>
        <m:r>
          <m:t>i</m:t>
        </m:r>
        <m:r>
          <m:t>o</m:t>
        </m:r>
        <m:r>
          <m:t>n</m:t>
        </m:r>
        <m:r>
          <m:rPr>
            <m:sty m:val="p"/>
          </m:rPr>
          <m:t>*</m:t>
        </m:r>
        <m:r>
          <m:rPr>
            <m:sty m:val="p"/>
          </m:rPr>
          <m:t>*</m:t>
        </m:r>
        <m:r>
          <m:t>o</m:t>
        </m:r>
        <m:r>
          <m:t>f</m:t>
        </m:r>
        <m:r>
          <m:t>c</m:t>
        </m:r>
        <m:r>
          <m:t>a</m:t>
        </m:r>
        <m:r>
          <m:t>p</m:t>
        </m:r>
        <m:r>
          <m:t>i</m:t>
        </m:r>
        <m:r>
          <m:t>t</m:t>
        </m:r>
        <m:r>
          <m:t>a</m:t>
        </m:r>
        <m:r>
          <m:t>l</m:t>
        </m:r>
        <m:r>
          <m:t>e</m:t>
        </m:r>
        <m:r>
          <m:t>x</m:t>
        </m:r>
        <m:r>
          <m:t>p</m:t>
        </m:r>
        <m:r>
          <m:t>e</m:t>
        </m:r>
        <m:r>
          <m:t>n</m:t>
        </m:r>
        <m:r>
          <m:t>d</m:t>
        </m:r>
        <m:r>
          <m:t>i</m:t>
        </m:r>
        <m:r>
          <m:t>t</m:t>
        </m:r>
        <m:r>
          <m:t>u</m:t>
        </m:r>
        <m:r>
          <m:t>r</m:t>
        </m:r>
        <m:r>
          <m:t>e</m:t>
        </m:r>
        <m:r>
          <m:t>s</m:t>
        </m:r>
        <m:r>
          <m:t>a</m:t>
        </m:r>
        <m:r>
          <m:t>n</m:t>
        </m:r>
        <m:r>
          <m:t>d</m:t>
        </m:r>
        <m:r>
          <m:t>a</m:t>
        </m:r>
        <m:r>
          <m:t>b</m:t>
        </m:r>
        <m:r>
          <m:t>o</m:t>
        </m:r>
        <m:r>
          <m:t>u</m:t>
        </m:r>
        <m:r>
          <m:t>t</m:t>
        </m:r>
        <m:r>
          <m:rPr>
            <m:sty m:val="p"/>
          </m:rPr>
          <m:t>*</m:t>
        </m:r>
        <m:r>
          <m:rPr>
            <m:sty m:val="p"/>
          </m:rPr>
          <m:t>*</m:t>
        </m:r>
      </m:oMath>
      <w:r>
        <w:t xml:space="preserve">700 million** of D&amp;A.</w:t>
      </w:r>
    </w:p>
    <w:p>
      <w:pPr>
        <w:pStyle w:val="BodyText"/>
      </w:pPr>
      <w:r>
        <w:t xml:space="preserve">At March 31, PKG had:</w:t>
      </w:r>
    </w:p>
    <w:p>
      <w:pPr>
        <w:pStyle w:val="Compact"/>
        <w:numPr>
          <w:ilvl w:val="0"/>
          <w:numId w:val="1005"/>
        </w:numPr>
      </w:pPr>
      <w:r>
        <w:rPr>
          <w:b/>
          <w:bCs/>
        </w:rPr>
        <w:t xml:space="preserve">$615.5 million</w:t>
      </w:r>
      <w:r>
        <w:t xml:space="preserve"> </w:t>
      </w:r>
      <w:r>
        <w:t xml:space="preserve">of cash and marketable debt securities;</w:t>
      </w:r>
    </w:p>
    <w:p>
      <w:pPr>
        <w:pStyle w:val="Compact"/>
        <w:numPr>
          <w:ilvl w:val="0"/>
          <w:numId w:val="1005"/>
        </w:numPr>
      </w:pPr>
      <w:r>
        <w:rPr>
          <w:b/>
          <w:bCs/>
        </w:rPr>
        <w:t xml:space="preserve">$3.97 billion</w:t>
      </w:r>
      <w:r>
        <w:t xml:space="preserve"> </w:t>
      </w:r>
      <w:r>
        <w:t xml:space="preserve">of long-term debt, including $1.0 billion of variable-rate notes;</w:t>
      </w:r>
    </w:p>
    <w:p>
      <w:pPr>
        <w:pStyle w:val="Compact"/>
        <w:numPr>
          <w:ilvl w:val="0"/>
          <w:numId w:val="1005"/>
        </w:numPr>
      </w:pPr>
      <w:r>
        <w:rPr>
          <w:b/>
          <w:bCs/>
        </w:rPr>
        <w:t xml:space="preserve">$573 million</w:t>
      </w:r>
      <w:r>
        <w:t xml:space="preserve"> </w:t>
      </w:r>
      <w:r>
        <w:t xml:space="preserve">of unused revolver capacity;</w:t>
      </w:r>
    </w:p>
    <w:p>
      <w:pPr>
        <w:pStyle w:val="Compact"/>
        <w:numPr>
          <w:ilvl w:val="0"/>
          <w:numId w:val="1005"/>
        </w:numPr>
      </w:pPr>
      <w:r>
        <w:t xml:space="preserve">approximately</w:t>
      </w:r>
      <w:r>
        <w:t xml:space="preserve"> </w:t>
      </w:r>
      <w:r>
        <w:rPr>
          <w:b/>
          <w:bCs/>
        </w:rPr>
        <w:t xml:space="preserve">$224 million</w:t>
      </w:r>
      <w:r>
        <w:t xml:space="preserve"> </w:t>
      </w:r>
      <w:r>
        <w:t xml:space="preserve">remaining under its repurchase authorization.</w:t>
      </w:r>
    </w:p>
    <w:p>
      <w:pPr>
        <w:pStyle w:val="FirstParagraph"/>
      </w:pPr>
      <w:r>
        <w:t xml:space="preserve">The balance sheet remains liquid, but the Greif acquisition has made interest expense and cash conversion more important watch items. In 1Q, net interest expense rose to</w:t>
      </w:r>
      <w:r>
        <w:t xml:space="preserve"> </w:t>
      </w:r>
      <m:oMath>
        <m:r>
          <m:t>32.6</m:t>
        </m:r>
        <m:r>
          <m:t>m</m:t>
        </m:r>
        <m:r>
          <m:t>i</m:t>
        </m:r>
        <m:r>
          <m:t>l</m:t>
        </m:r>
        <m:r>
          <m:t>l</m:t>
        </m:r>
        <m:r>
          <m:t>i</m:t>
        </m:r>
        <m:r>
          <m:t>o</m:t>
        </m:r>
        <m:r>
          <m:t>n</m:t>
        </m:r>
        <m:r>
          <m:rPr>
            <m:sty m:val="p"/>
          </m:rPr>
          <m:t>*</m:t>
        </m:r>
        <m:r>
          <m:rPr>
            <m:sty m:val="p"/>
          </m:rPr>
          <m:t>*</m:t>
        </m:r>
        <m:r>
          <m:t>f</m:t>
        </m:r>
        <m:r>
          <m:t>r</m:t>
        </m:r>
        <m:r>
          <m:t>o</m:t>
        </m:r>
        <m:r>
          <m:t>m</m:t>
        </m:r>
        <m:r>
          <m:rPr>
            <m:sty m:val="p"/>
          </m:rPr>
          <m:t>*</m:t>
        </m:r>
        <m:r>
          <m:rPr>
            <m:sty m:val="p"/>
          </m:rPr>
          <m:t>*</m:t>
        </m:r>
      </m:oMath>
      <w:r>
        <w:rPr>
          <w:b/>
          <w:bCs/>
        </w:rPr>
        <w:t xml:space="preserve">12.9 million</w:t>
      </w:r>
      <w:r>
        <w:t xml:space="preserve"> </w:t>
      </w:r>
      <w:r>
        <w:t xml:space="preserve">a year earlier.</w:t>
      </w:r>
    </w:p>
    <w:bookmarkEnd w:id="17"/>
    <w:bookmarkStart w:id="18" w:name="what-would-be-bullish"/>
    <w:p>
      <w:pPr>
        <w:pStyle w:val="Heading2"/>
      </w:pPr>
      <w:r>
        <w:t xml:space="preserve">What would be bullish</w:t>
      </w:r>
    </w:p>
    <w:p>
      <w:pPr>
        <w:pStyle w:val="Compact"/>
        <w:numPr>
          <w:ilvl w:val="0"/>
          <w:numId w:val="1006"/>
        </w:numPr>
      </w:pPr>
      <w:r>
        <w:t xml:space="preserve">Adjusted EPS above $2.33</w:t>
      </w:r>
      <w:r>
        <w:t xml:space="preserve"> </w:t>
      </w:r>
      <w:r>
        <w:rPr>
          <w:b/>
          <w:bCs/>
        </w:rPr>
        <w:t xml:space="preserve">and</w:t>
      </w:r>
      <w:r>
        <w:t xml:space="preserve"> </w:t>
      </w:r>
      <w:r>
        <w:t xml:space="preserve">a clean explanation based on price, volume/mix, and operational execution.</w:t>
      </w:r>
    </w:p>
    <w:p>
      <w:pPr>
        <w:pStyle w:val="Compact"/>
        <w:numPr>
          <w:ilvl w:val="0"/>
          <w:numId w:val="1006"/>
        </w:numPr>
      </w:pPr>
      <w:r>
        <w:t xml:space="preserve">Confirmation that containerboard/box price implementation proceeded as planned, with substantial incremental 3Q carryover.</w:t>
      </w:r>
    </w:p>
    <w:p>
      <w:pPr>
        <w:pStyle w:val="Compact"/>
        <w:numPr>
          <w:ilvl w:val="0"/>
          <w:numId w:val="1006"/>
        </w:numPr>
      </w:pPr>
      <w:r>
        <w:t xml:space="preserve">Greif becomes accretive, with productivity gains and freight optimization visibly contributing.</w:t>
      </w:r>
    </w:p>
    <w:p>
      <w:pPr>
        <w:pStyle w:val="Compact"/>
        <w:numPr>
          <w:ilvl w:val="0"/>
          <w:numId w:val="1006"/>
        </w:numPr>
      </w:pPr>
      <w:r>
        <w:t xml:space="preserve">Legacy shipments remain meaningfully above industry trends.</w:t>
      </w:r>
    </w:p>
    <w:p>
      <w:pPr>
        <w:pStyle w:val="Compact"/>
        <w:numPr>
          <w:ilvl w:val="0"/>
          <w:numId w:val="1006"/>
        </w:numPr>
      </w:pPr>
      <w:r>
        <w:t xml:space="preserve">Input-cost pressure moderates and management preserves—or improves—the expected 3Q price/cost inflection.</w:t>
      </w:r>
    </w:p>
    <w:p>
      <w:pPr>
        <w:pStyle w:val="Compact"/>
        <w:numPr>
          <w:ilvl w:val="0"/>
          <w:numId w:val="1006"/>
        </w:numPr>
      </w:pPr>
      <w:r>
        <w:t xml:space="preserve">No material disruption from the heavy mill-outage schedule.</w:t>
      </w:r>
    </w:p>
    <w:bookmarkEnd w:id="18"/>
    <w:bookmarkStart w:id="19" w:name="what-would-be-bearish"/>
    <w:p>
      <w:pPr>
        <w:pStyle w:val="Heading2"/>
      </w:pPr>
      <w:r>
        <w:t xml:space="preserve">What would be bearish</w:t>
      </w:r>
    </w:p>
    <w:p>
      <w:pPr>
        <w:pStyle w:val="Compact"/>
        <w:numPr>
          <w:ilvl w:val="0"/>
          <w:numId w:val="1007"/>
        </w:numPr>
      </w:pPr>
      <w:r>
        <w:t xml:space="preserve">Price realization lags plan or management turns less confident on 3Q benefit timing.</w:t>
      </w:r>
    </w:p>
    <w:p>
      <w:pPr>
        <w:pStyle w:val="Compact"/>
        <w:numPr>
          <w:ilvl w:val="0"/>
          <w:numId w:val="1007"/>
        </w:numPr>
      </w:pPr>
      <w:r>
        <w:t xml:space="preserve">Greif remains dilutive, suggesting productivity, mix, or integration gains are taking longer than expected.</w:t>
      </w:r>
    </w:p>
    <w:p>
      <w:pPr>
        <w:pStyle w:val="Compact"/>
        <w:numPr>
          <w:ilvl w:val="0"/>
          <w:numId w:val="1007"/>
        </w:numPr>
      </w:pPr>
      <w:r>
        <w:t xml:space="preserve">Higher recycled fiber, chemicals, freight, or diesel costs more than absorb early pricing gains.</w:t>
      </w:r>
    </w:p>
    <w:p>
      <w:pPr>
        <w:pStyle w:val="Compact"/>
        <w:numPr>
          <w:ilvl w:val="0"/>
          <w:numId w:val="1007"/>
        </w:numPr>
      </w:pPr>
      <w:r>
        <w:t xml:space="preserve">Corrugated demand weakens toward industry levels or customer inventories begin to build.</w:t>
      </w:r>
    </w:p>
    <w:p>
      <w:pPr>
        <w:pStyle w:val="Compact"/>
        <w:numPr>
          <w:ilvl w:val="0"/>
          <w:numId w:val="1007"/>
        </w:numPr>
      </w:pPr>
      <w:r>
        <w:t xml:space="preserve">Operational issues emerge while the system remains tight.</w:t>
      </w:r>
    </w:p>
    <w:p>
      <w:pPr>
        <w:pStyle w:val="Compact"/>
        <w:numPr>
          <w:ilvl w:val="0"/>
          <w:numId w:val="1007"/>
        </w:numPr>
      </w:pPr>
      <w:r>
        <w:t xml:space="preserve">Capital spending or restructuring cash costs move higher without a commensurate return outlook.</w:t>
      </w:r>
    </w:p>
    <w:bookmarkEnd w:id="19"/>
    <w:bookmarkStart w:id="20" w:name="questions-for-the-earnings-call"/>
    <w:p>
      <w:pPr>
        <w:pStyle w:val="Heading2"/>
      </w:pPr>
      <w:r>
        <w:t xml:space="preserve">Questions for the earnings call</w:t>
      </w:r>
    </w:p>
    <w:p>
      <w:pPr>
        <w:pStyle w:val="Compact"/>
        <w:numPr>
          <w:ilvl w:val="0"/>
          <w:numId w:val="1008"/>
        </w:numPr>
      </w:pPr>
      <w:r>
        <w:t xml:space="preserve">How much of the net $50/ton containerboard increase was realized in 2Q, and how much remains as 3Q carryover?</w:t>
      </w:r>
    </w:p>
    <w:p>
      <w:pPr>
        <w:pStyle w:val="Compact"/>
        <w:numPr>
          <w:ilvl w:val="0"/>
          <w:numId w:val="1008"/>
        </w:numPr>
      </w:pPr>
      <w:r>
        <w:t xml:space="preserve">Does management still expect the primary earnings inflection to occur in 3Q?</w:t>
      </w:r>
    </w:p>
    <w:p>
      <w:pPr>
        <w:pStyle w:val="Compact"/>
        <w:numPr>
          <w:ilvl w:val="0"/>
          <w:numId w:val="1008"/>
        </w:numPr>
      </w:pPr>
      <w:r>
        <w:t xml:space="preserve">What was legacy corrugated shipment growth in May, June, and early July, relative to industry shipment data?</w:t>
      </w:r>
    </w:p>
    <w:p>
      <w:pPr>
        <w:pStyle w:val="Compact"/>
        <w:numPr>
          <w:ilvl w:val="0"/>
          <w:numId w:val="1008"/>
        </w:numPr>
      </w:pPr>
      <w:r>
        <w:t xml:space="preserve">Did Greif meet the expected sequential improvement and become accretive? What is the current synergy run rate?</w:t>
      </w:r>
    </w:p>
    <w:p>
      <w:pPr>
        <w:pStyle w:val="Compact"/>
        <w:numPr>
          <w:ilvl w:val="0"/>
          <w:numId w:val="1008"/>
        </w:numPr>
      </w:pPr>
      <w:r>
        <w:t xml:space="preserve">Have recycled fiber, chemicals, freight, and diesel costs stabilized from the elevated 2Q run rate?</w:t>
      </w:r>
    </w:p>
    <w:p>
      <w:pPr>
        <w:pStyle w:val="Compact"/>
        <w:numPr>
          <w:ilvl w:val="0"/>
          <w:numId w:val="1008"/>
        </w:numPr>
      </w:pPr>
      <w:r>
        <w:t xml:space="preserve">Were the Tomahawk, Filer City, and Wallula outages completed on time and on budget?</w:t>
      </w:r>
    </w:p>
    <w:p>
      <w:pPr>
        <w:pStyle w:val="Compact"/>
        <w:numPr>
          <w:ilvl w:val="0"/>
          <w:numId w:val="1008"/>
        </w:numPr>
      </w:pPr>
      <w:r>
        <w:t xml:space="preserve">What does management now expect for 2026 capital spending, free cash flow, and shareholder returns after the Greif acquisition?</w:t>
      </w:r>
    </w:p>
    <w:bookmarkEnd w:id="20"/>
    <w:bookmarkStart w:id="21" w:name="takeaway"/>
    <w:p>
      <w:pPr>
        <w:pStyle w:val="Heading2"/>
      </w:pPr>
      <w:r>
        <w:t xml:space="preserve">Takeaway</w:t>
      </w:r>
    </w:p>
    <w:p>
      <w:pPr>
        <w:pStyle w:val="FirstParagraph"/>
      </w:pPr>
      <w:r>
        <w:t xml:space="preserve">PKG’s 2Q report is likely to be judged as a</w:t>
      </w:r>
      <w:r>
        <w:t xml:space="preserve"> </w:t>
      </w:r>
      <w:r>
        <w:rPr>
          <w:b/>
          <w:bCs/>
        </w:rPr>
        <w:t xml:space="preserve">confirmation quarter</w:t>
      </w:r>
      <w:r>
        <w:t xml:space="preserve">. Management already framed the period as one where outages and input costs suppress earnings while price benefits build. Therefore, the decisive message will be whether the company can demonstrate three things:</w:t>
      </w:r>
      <w:r>
        <w:t xml:space="preserve"> </w:t>
      </w:r>
      <w:r>
        <w:rPr>
          <w:b/>
          <w:bCs/>
        </w:rPr>
        <w:t xml:space="preserve">resilient box demand, a credible Greif improvement path, and a clear 3Q price/cost earnings step-up.</w:t>
      </w:r>
      <w:r>
        <w:t xml:space="preserve"> </w:t>
      </w:r>
      <w:r>
        <w:t xml:space="preserve">If it can, the report should reinforce the investment case despite a potentially unexciting headline EPS comparison.</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2026-07-22T01:02:04Z</dcterms:created>
  <dcterms:modified xsi:type="dcterms:W3CDTF">2026-07-22T01:02:04Z</dcterms:modified>
</cp:coreProperties>
</file>

<file path=docProps/custom.xml><?xml version="1.0" encoding="utf-8"?>
<Properties xmlns="http://schemas.openxmlformats.org/officeDocument/2006/custom-properties" xmlns:vt="http://schemas.openxmlformats.org/officeDocument/2006/docPropsVTypes"/>
</file>