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Earnings Preview — Packaging Corporation of America (PKG)</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Packaging Corporation of America (PKG)</w:t>
            </w:r>
          </w:p>
        </w:tc>
      </w:tr>
      <w:tr>
        <w:tc>
          <w:tcPr>
            <w:tcW w:type="dxa" w:w="4320"/>
          </w:tcPr>
          <w:p>
            <w:r>
              <w:rPr>
                <w:rFonts w:ascii="Calibri" w:hAnsi="Calibri"/>
                <w:b/>
                <w:sz w:val="22"/>
              </w:rPr>
              <w:t>Upcoming Earnings</w:t>
            </w:r>
          </w:p>
        </w:tc>
        <w:tc>
          <w:tcPr>
            <w:tcW w:type="dxa" w:w="4320"/>
          </w:tcPr>
          <w:p>
            <w:r>
              <w:rPr>
                <w:rFonts w:ascii="Calibri" w:hAnsi="Calibri"/>
                <w:sz w:val="22"/>
              </w:rPr>
              <w:t>Q2 2026 — Expected ~July 22, 2026</w:t>
            </w:r>
          </w:p>
        </w:tc>
      </w:tr>
      <w:tr>
        <w:tc>
          <w:tcPr>
            <w:tcW w:type="dxa" w:w="4320"/>
          </w:tcPr>
          <w:p>
            <w:r>
              <w:rPr>
                <w:rFonts w:ascii="Calibri" w:hAnsi="Calibri"/>
                <w:b/>
                <w:sz w:val="22"/>
              </w:rPr>
              <w:t>Last Earnings</w:t>
            </w:r>
          </w:p>
        </w:tc>
        <w:tc>
          <w:tcPr>
            <w:tcW w:type="dxa" w:w="4320"/>
          </w:tcPr>
          <w:p>
            <w:r>
              <w:rPr>
                <w:rFonts w:ascii="Calibri" w:hAnsi="Calibri"/>
                <w:sz w:val="22"/>
              </w:rPr>
              <w:t>Q1 2026 — April 22,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Used</w:t>
            </w:r>
          </w:p>
        </w:tc>
        <w:tc>
          <w:tcPr>
            <w:tcW w:type="dxa" w:w="4320"/>
          </w:tcPr>
          <w:p>
            <w:r>
              <w:rPr>
                <w:rFonts w:ascii="Calibri" w:hAnsi="Calibri"/>
                <w:sz w:val="22"/>
              </w:rPr>
              <w:t>Peers: IP (International Paper), SW (Smurfit WestRock)</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the bar is low — consensus EPS of $2.31 for Q2 2026 is well below Q1's $2.40 actual, reflecting management's own below-Street guidance driven by the heaviest maintenance outage quarter of the year; the real question is whether freight and recycled fiber cost headwinds are worse than feared, or whether strong June volumes and early price-increase flow-through allow PKG to at least meet guidance and set up a powerful Q3 inflection story.</w:t>
      </w:r>
    </w:p>
    <w:p>
      <w:r>
        <w:rPr>
          <w:rFonts w:ascii="Calibri" w:hAnsi="Calibri"/>
          <w:color w:val="525866"/>
          <w:sz w:val="22"/>
        </w:rPr>
        <w:t xml:space="preserve">Q2 2026 is structurally the toughest quarter of the year for PKG, and management guided accordingly — Q2 EPS guidance came in well below Street consensus at the Q1 print, driven by the largest single-quarter maintenance outage burden of the year (~$0.44/share impact), elevated freight costs running meaningfully above plan (higher diesel, greater shipping distances, increased spot freight usage), recycled fiber cost escalation, stock compensation timing, and tax rate normalization. </w:t>
      </w:r>
      <w:r>
        <w:rPr>
          <w:rFonts w:ascii="Calibri" w:hAnsi="Calibri"/>
          <w:b/>
          <w:color w:val="525866"/>
          <w:sz w:val="22"/>
        </w:rPr>
        <w:t>Consensus EPS of ~$2.31 represents a low bar</w:t>
      </w:r>
      <w:r>
        <w:rPr>
          <w:rFonts w:ascii="Calibri" w:hAnsi="Calibri"/>
          <w:color w:val="525866"/>
          <w:sz w:val="22"/>
        </w:rPr>
        <w:t xml:space="preserve"> relative to PKG's operational trajectory, and the stock has already rallied ~11% since the Q1 print as the market looks through Q2 weakness toward Q3 as the key earnings inflection quarter. </w:t>
      </w:r>
      <w:r>
        <w:rPr>
          <w:rFonts w:ascii="Calibri" w:hAnsi="Calibri"/>
          <w:b/>
          <w:color w:val="525866"/>
          <w:sz w:val="22"/>
        </w:rPr>
        <w:t>Two $50/ton containerboard price increases</w:t>
      </w:r>
      <w:r>
        <w:rPr>
          <w:rFonts w:ascii="Calibri" w:hAnsi="Calibri"/>
          <w:color w:val="525866"/>
          <w:sz w:val="22"/>
        </w:rPr>
        <w:t xml:space="preserve"> (March and June effective dates) are expected to be substantially recognized in Q3, making Q2 a transitional quarter where the primary investor focus will be on volume trends, freight cost trajectory, and any update to the Q3/full-year outlook. </w:t>
      </w:r>
      <w:r>
        <w:rPr>
          <w:rFonts w:ascii="Calibri" w:hAnsi="Calibri"/>
          <w:b/>
          <w:color w:val="525866"/>
          <w:sz w:val="22"/>
        </w:rPr>
        <w:t>Estimate revisions have moved modestly higher since the Q1 print</w:t>
      </w:r>
      <w:r>
        <w:rPr>
          <w:rFonts w:ascii="Calibri" w:hAnsi="Calibri"/>
          <w:color w:val="525866"/>
          <w:sz w:val="22"/>
        </w:rPr>
        <w:t xml:space="preserve"> (FY 2026 consensus EPS up from $10.37 to $10.45), suggesting the Street has incrementally gained confidence in the back-half ramp. The key wildcard is </w:t>
      </w:r>
      <w:r>
        <w:rPr>
          <w:rFonts w:ascii="Calibri" w:hAnsi="Calibri"/>
          <w:b/>
          <w:color w:val="525866"/>
          <w:sz w:val="22"/>
        </w:rPr>
        <w:t>freight cost severity in June</w:t>
      </w:r>
      <w:r>
        <w:rPr>
          <w:rFonts w:ascii="Calibri" w:hAnsi="Calibri"/>
          <w:color w:val="525866"/>
          <w:sz w:val="22"/>
        </w:rPr>
        <w:t xml:space="preserve"> — management flagged no relief expected through June at the Q1 call, and if diesel costs remain elevated, Q2 EPS could miss even the low guidance bar; conversely, any positive freight commentary or stronger-than-expected volume data would be a meaningful positive catalyst heading into the Q3 setup.</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 EPS of $2.31 is below Q1's $2.40 actual and reflects management's own below-Street guidance; </w:t>
      </w:r>
      <w:r>
        <w:rPr>
          <w:rFonts w:ascii="Calibri" w:hAnsi="Calibri"/>
          <w:b/>
          <w:color w:val="525866"/>
          <w:sz w:val="22"/>
        </w:rPr>
        <w:t>packaging volume (KTons) is the bigger swing factor</w:t>
      </w:r>
      <w:r>
        <w:rPr>
          <w:rFonts w:ascii="Calibri" w:hAnsi="Calibri"/>
          <w:color w:val="525866"/>
          <w:sz w:val="22"/>
        </w:rPr>
        <w:t xml:space="preserve"> given the inventory rebuild dynamic and strong bookings commentary heading into June.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w:t>
            </w:r>
          </w:p>
        </w:tc>
        <w:tc>
          <w:tcPr>
            <w:tcW w:type="dxa" w:w="1234"/>
          </w:tcPr>
          <w:p>
            <w:r>
              <w:rPr>
                <w:rFonts w:ascii="Calibri" w:hAnsi="Calibri"/>
                <w:sz w:val="22"/>
              </w:rPr>
              <w:t>$2.40</w:t>
            </w:r>
          </w:p>
        </w:tc>
        <w:tc>
          <w:tcPr>
            <w:tcW w:type="dxa" w:w="1234"/>
          </w:tcPr>
          <w:p>
            <w:r>
              <w:rPr>
                <w:rFonts w:ascii="Calibri" w:hAnsi="Calibri"/>
                <w:sz w:val="22"/>
              </w:rPr>
              <w:t>$2.48</w:t>
            </w:r>
          </w:p>
        </w:tc>
        <w:tc>
          <w:tcPr>
            <w:tcW w:type="dxa" w:w="1234"/>
          </w:tcPr>
          <w:p>
            <w:r>
              <w:rPr>
                <w:rFonts w:ascii="Calibri" w:hAnsi="Calibri"/>
                <w:sz w:val="22"/>
              </w:rPr>
              <w:t>$2.31</w:t>
            </w:r>
          </w:p>
        </w:tc>
        <w:tc>
          <w:tcPr>
            <w:tcW w:type="dxa" w:w="1234"/>
          </w:tcPr>
          <w:p>
            <w:r>
              <w:rPr>
                <w:rFonts w:ascii="Calibri" w:hAnsi="Calibri"/>
                <w:sz w:val="22"/>
              </w:rPr>
              <w:t>-6.9%</w:t>
            </w:r>
          </w:p>
        </w:tc>
        <w:tc>
          <w:tcPr>
            <w:tcW w:type="dxa" w:w="1234"/>
          </w:tcPr>
          <w:p>
            <w:r>
              <w:rPr>
                <w:rFonts w:ascii="Calibri" w:hAnsi="Calibri"/>
                <w:sz w:val="22"/>
              </w:rPr>
              <w:t>Below Street (mgmt guided well below $2.31 consensus at Q1 print)</w:t>
            </w:r>
          </w:p>
        </w:tc>
        <w:tc>
          <w:tcPr>
            <w:tcW w:type="dxa" w:w="1234"/>
          </w:tcPr>
          <w:p>
            <w:r>
              <w:rPr>
                <w:rFonts w:ascii="Calibri" w:hAnsi="Calibri"/>
                <w:sz w:val="22"/>
              </w:rPr>
              <w:t>~Inline / slight discount to guidance midpoint</w:t>
            </w:r>
          </w:p>
        </w:tc>
      </w:tr>
      <w:tr>
        <w:tc>
          <w:tcPr>
            <w:tcW w:type="dxa" w:w="1234"/>
          </w:tcPr>
          <w:p>
            <w:r>
              <w:rPr>
                <w:rFonts w:ascii="Calibri" w:hAnsi="Calibri"/>
                <w:sz w:val="22"/>
              </w:rPr>
              <w:t>Net Sales ($B)</w:t>
            </w:r>
          </w:p>
        </w:tc>
        <w:tc>
          <w:tcPr>
            <w:tcW w:type="dxa" w:w="1234"/>
          </w:tcPr>
          <w:p>
            <w:r>
              <w:rPr>
                <w:rFonts w:ascii="Calibri" w:hAnsi="Calibri"/>
                <w:sz w:val="22"/>
              </w:rPr>
              <w:t>$2.368B</w:t>
            </w:r>
          </w:p>
        </w:tc>
        <w:tc>
          <w:tcPr>
            <w:tcW w:type="dxa" w:w="1234"/>
          </w:tcPr>
          <w:p>
            <w:r>
              <w:rPr>
                <w:rFonts w:ascii="Calibri" w:hAnsi="Calibri"/>
                <w:sz w:val="22"/>
              </w:rPr>
              <w:t>$2.171B</w:t>
            </w:r>
          </w:p>
        </w:tc>
        <w:tc>
          <w:tcPr>
            <w:tcW w:type="dxa" w:w="1234"/>
          </w:tcPr>
          <w:p>
            <w:r>
              <w:rPr>
                <w:rFonts w:ascii="Calibri" w:hAnsi="Calibri"/>
                <w:sz w:val="22"/>
              </w:rPr>
              <w:t>$2.502B</w:t>
            </w:r>
          </w:p>
        </w:tc>
        <w:tc>
          <w:tcPr>
            <w:tcW w:type="dxa" w:w="1234"/>
          </w:tcPr>
          <w:p>
            <w:r>
              <w:rPr>
                <w:rFonts w:ascii="Calibri" w:hAnsi="Calibri"/>
                <w:sz w:val="22"/>
              </w:rPr>
              <w:t>+15.2%</w:t>
            </w:r>
          </w:p>
        </w:tc>
        <w:tc>
          <w:tcPr>
            <w:tcW w:type="dxa" w:w="1234"/>
          </w:tcPr>
          <w:p>
            <w:r>
              <w:rPr>
                <w:rFonts w:ascii="Calibri" w:hAnsi="Calibri"/>
                <w:sz w:val="22"/>
              </w:rPr>
              <w:t>N/A — no explicit revenue guidance</w:t>
            </w:r>
          </w:p>
        </w:tc>
        <w:tc>
          <w:tcPr>
            <w:tcW w:type="dxa" w:w="1234"/>
          </w:tcPr>
          <w:p>
            <w:r>
              <w:rPr>
                <w:rFonts w:ascii="Calibri" w:hAnsi="Calibri"/>
                <w:sz w:val="22"/>
              </w:rPr>
              <w:t>N/A</w:t>
            </w:r>
          </w:p>
        </w:tc>
      </w:tr>
      <w:tr>
        <w:tc>
          <w:tcPr>
            <w:tcW w:type="dxa" w:w="1234"/>
          </w:tcPr>
          <w:p>
            <w:r>
              <w:rPr>
                <w:rFonts w:ascii="Calibri" w:hAnsi="Calibri"/>
                <w:sz w:val="22"/>
              </w:rPr>
              <w:t>Net Sales — Packaging ($B)</w:t>
            </w:r>
          </w:p>
        </w:tc>
        <w:tc>
          <w:tcPr>
            <w:tcW w:type="dxa" w:w="1234"/>
          </w:tcPr>
          <w:p>
            <w:r>
              <w:rPr>
                <w:rFonts w:ascii="Calibri" w:hAnsi="Calibri"/>
                <w:sz w:val="22"/>
              </w:rPr>
              <w:t>$2.189B</w:t>
            </w:r>
          </w:p>
        </w:tc>
        <w:tc>
          <w:tcPr>
            <w:tcW w:type="dxa" w:w="1234"/>
          </w:tcPr>
          <w:p>
            <w:r>
              <w:rPr>
                <w:rFonts w:ascii="Calibri" w:hAnsi="Calibri"/>
                <w:sz w:val="22"/>
              </w:rPr>
              <w:t>$2.006B</w:t>
            </w:r>
          </w:p>
        </w:tc>
        <w:tc>
          <w:tcPr>
            <w:tcW w:type="dxa" w:w="1234"/>
          </w:tcPr>
          <w:p>
            <w:r>
              <w:rPr>
                <w:rFonts w:ascii="Calibri" w:hAnsi="Calibri"/>
                <w:sz w:val="22"/>
              </w:rPr>
              <w:t>$2.330B</w:t>
            </w:r>
          </w:p>
        </w:tc>
        <w:tc>
          <w:tcPr>
            <w:tcW w:type="dxa" w:w="1234"/>
          </w:tcPr>
          <w:p>
            <w:r>
              <w:rPr>
                <w:rFonts w:ascii="Calibri" w:hAnsi="Calibri"/>
                <w:sz w:val="22"/>
              </w:rPr>
              <w:t>+16.2%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$476.5M</w:t>
            </w:r>
          </w:p>
        </w:tc>
        <w:tc>
          <w:tcPr>
            <w:tcW w:type="dxa" w:w="1234"/>
          </w:tcPr>
          <w:p>
            <w:r>
              <w:rPr>
                <w:rFonts w:ascii="Calibri" w:hAnsi="Calibri"/>
                <w:sz w:val="22"/>
              </w:rPr>
              <w:t>$474.4M</w:t>
            </w:r>
          </w:p>
        </w:tc>
        <w:tc>
          <w:tcPr>
            <w:tcW w:type="dxa" w:w="1234"/>
          </w:tcPr>
          <w:p>
            <w:r>
              <w:rPr>
                <w:rFonts w:ascii="Calibri" w:hAnsi="Calibri"/>
                <w:sz w:val="22"/>
              </w:rPr>
              <w:t>$491.5M</w:t>
            </w:r>
          </w:p>
        </w:tc>
        <w:tc>
          <w:tcPr>
            <w:tcW w:type="dxa" w:w="1234"/>
          </w:tcPr>
          <w:p>
            <w:r>
              <w:rPr>
                <w:rFonts w:ascii="Calibri" w:hAnsi="Calibri"/>
                <w:sz w:val="22"/>
              </w:rPr>
              <w:t>+3.6%</w:t>
            </w:r>
          </w:p>
        </w:tc>
        <w:tc>
          <w:tcPr>
            <w:tcW w:type="dxa" w:w="1234"/>
          </w:tcPr>
          <w:p>
            <w:r>
              <w:rPr>
                <w:rFonts w:ascii="Calibri" w:hAnsi="Calibri"/>
                <w:sz w:val="22"/>
              </w:rPr>
              <w:t>N/A — no explicit EBITDA guidance</w:t>
            </w:r>
          </w:p>
        </w:tc>
        <w:tc>
          <w:tcPr>
            <w:tcW w:type="dxa" w:w="1234"/>
          </w:tcPr>
          <w:p>
            <w:r>
              <w:rPr>
                <w:rFonts w:ascii="Calibri" w:hAnsi="Calibri"/>
                <w:sz w:val="22"/>
              </w:rPr>
              <w:t>N/A</w:t>
            </w:r>
          </w:p>
        </w:tc>
      </w:tr>
      <w:tr>
        <w:tc>
          <w:tcPr>
            <w:tcW w:type="dxa" w:w="1234"/>
          </w:tcPr>
          <w:p>
            <w:r>
              <w:rPr>
                <w:rFonts w:ascii="Calibri" w:hAnsi="Calibri"/>
                <w:sz w:val="22"/>
              </w:rPr>
              <w:t>EBITDA — Packaging ($M)</w:t>
            </w:r>
          </w:p>
        </w:tc>
        <w:tc>
          <w:tcPr>
            <w:tcW w:type="dxa" w:w="1234"/>
          </w:tcPr>
          <w:p>
            <w:r>
              <w:rPr>
                <w:rFonts w:ascii="Calibri" w:hAnsi="Calibri"/>
                <w:sz w:val="22"/>
              </w:rPr>
              <w:t>$476.2M</w:t>
            </w:r>
          </w:p>
        </w:tc>
        <w:tc>
          <w:tcPr>
            <w:tcW w:type="dxa" w:w="1234"/>
          </w:tcPr>
          <w:p>
            <w:r>
              <w:rPr>
                <w:rFonts w:ascii="Calibri" w:hAnsi="Calibri"/>
                <w:sz w:val="22"/>
              </w:rPr>
              <w:t>$478.1M</w:t>
            </w:r>
          </w:p>
        </w:tc>
        <w:tc>
          <w:tcPr>
            <w:tcW w:type="dxa" w:w="1234"/>
          </w:tcPr>
          <w:p>
            <w:r>
              <w:rPr>
                <w:rFonts w:ascii="Calibri" w:hAnsi="Calibri"/>
                <w:sz w:val="22"/>
              </w:rPr>
              <w:t>$484.4M</w:t>
            </w:r>
          </w:p>
        </w:tc>
        <w:tc>
          <w:tcPr>
            <w:tcW w:type="dxa" w:w="1234"/>
          </w:tcPr>
          <w:p>
            <w:r>
              <w:rPr>
                <w:rFonts w:ascii="Calibri" w:hAnsi="Calibri"/>
                <w:sz w:val="22"/>
              </w:rPr>
              <w:t>+1.3%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Volume — Packaging (KTons)</w:t>
            </w:r>
          </w:p>
        </w:tc>
        <w:tc>
          <w:tcPr>
            <w:tcW w:type="dxa" w:w="1234"/>
          </w:tcPr>
          <w:p>
            <w:r>
              <w:rPr>
                <w:rFonts w:ascii="Calibri" w:hAnsi="Calibri"/>
                <w:sz w:val="22"/>
              </w:rPr>
              <w:t>1,398 KTons</w:t>
            </w:r>
          </w:p>
        </w:tc>
        <w:tc>
          <w:tcPr>
            <w:tcW w:type="dxa" w:w="1234"/>
          </w:tcPr>
          <w:p>
            <w:r>
              <w:rPr>
                <w:rFonts w:ascii="Calibri" w:hAnsi="Calibri"/>
                <w:sz w:val="22"/>
              </w:rPr>
              <w:t>1,195 KTons</w:t>
            </w:r>
          </w:p>
        </w:tc>
        <w:tc>
          <w:tcPr>
            <w:tcW w:type="dxa" w:w="1234"/>
          </w:tcPr>
          <w:p>
            <w:r>
              <w:rPr>
                <w:rFonts w:ascii="Calibri" w:hAnsi="Calibri"/>
                <w:sz w:val="22"/>
              </w:rPr>
              <w:t>1,355 KTons</w:t>
            </w:r>
          </w:p>
        </w:tc>
        <w:tc>
          <w:tcPr>
            <w:tcW w:type="dxa" w:w="1234"/>
          </w:tcPr>
          <w:p>
            <w:r>
              <w:rPr>
                <w:rFonts w:ascii="Calibri" w:hAnsi="Calibri"/>
                <w:sz w:val="22"/>
              </w:rPr>
              <w:t>+13.4%</w:t>
            </w:r>
          </w:p>
        </w:tc>
        <w:tc>
          <w:tcPr>
            <w:tcW w:type="dxa" w:w="1234"/>
          </w:tcPr>
          <w:p>
            <w:r>
              <w:rPr>
                <w:rFonts w:ascii="Calibri" w:hAnsi="Calibri"/>
                <w:sz w:val="22"/>
              </w:rPr>
              <w:t>N/A — no explicit volume guidance</w:t>
            </w:r>
          </w:p>
        </w:tc>
        <w:tc>
          <w:tcPr>
            <w:tcW w:type="dxa" w:w="1234"/>
          </w:tcPr>
          <w:p>
            <w:r>
              <w:rPr>
                <w:rFonts w:ascii="Calibri" w:hAnsi="Calibri"/>
                <w:sz w:val="22"/>
              </w:rPr>
              <w:t>N/A</w:t>
            </w:r>
          </w:p>
        </w:tc>
      </w:tr>
      <w:tr>
        <w:tc>
          <w:tcPr>
            <w:tcW w:type="dxa" w:w="1234"/>
          </w:tcPr>
          <w:p>
            <w:r>
              <w:rPr>
                <w:rFonts w:ascii="Calibri" w:hAnsi="Calibri"/>
                <w:sz w:val="22"/>
              </w:rPr>
              <w:t>Net Sales — Paper ($M)</w:t>
            </w:r>
          </w:p>
        </w:tc>
        <w:tc>
          <w:tcPr>
            <w:tcW w:type="dxa" w:w="1234"/>
          </w:tcPr>
          <w:p>
            <w:r>
              <w:rPr>
                <w:rFonts w:ascii="Calibri" w:hAnsi="Calibri"/>
                <w:sz w:val="22"/>
              </w:rPr>
              <w:t>$159.9M</w:t>
            </w:r>
          </w:p>
        </w:tc>
        <w:tc>
          <w:tcPr>
            <w:tcW w:type="dxa" w:w="1234"/>
          </w:tcPr>
          <w:p>
            <w:r>
              <w:rPr>
                <w:rFonts w:ascii="Calibri" w:hAnsi="Calibri"/>
                <w:sz w:val="22"/>
              </w:rPr>
              <w:t>$145.8M</w:t>
            </w:r>
          </w:p>
        </w:tc>
        <w:tc>
          <w:tcPr>
            <w:tcW w:type="dxa" w:w="1234"/>
          </w:tcPr>
          <w:p>
            <w:r>
              <w:rPr>
                <w:rFonts w:ascii="Calibri" w:hAnsi="Calibri"/>
                <w:sz w:val="22"/>
              </w:rPr>
              <w:t>$159.0M</w:t>
            </w:r>
          </w:p>
        </w:tc>
        <w:tc>
          <w:tcPr>
            <w:tcW w:type="dxa" w:w="1234"/>
          </w:tcPr>
          <w:p>
            <w:r>
              <w:rPr>
                <w:rFonts w:ascii="Calibri" w:hAnsi="Calibri"/>
                <w:sz w:val="22"/>
              </w:rPr>
              <w:t>+9.1%</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21, 2026. YoY change compares Q2 2026 consensus vs. Q2 2025 actual. Note: Large YoY revenue/volume increases reflect the Greif containerboard acquisition (closed late 2025), which added significant capacity and revenue to the consolidated entity.</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EPS — Diluted Operating ($) and Total Volume — Packaging (KTons)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 — Diluted Operating</w:t>
            </w:r>
          </w:p>
        </w:tc>
        <w:tc>
          <w:tcPr>
            <w:tcW w:type="dxa" w:w="1440"/>
          </w:tcPr>
          <w:p>
            <w:r>
              <w:rPr>
                <w:rFonts w:ascii="Calibri" w:hAnsi="Calibri"/>
                <w:sz w:val="22"/>
              </w:rPr>
              <w:t>$2.40</w:t>
            </w:r>
          </w:p>
        </w:tc>
        <w:tc>
          <w:tcPr>
            <w:tcW w:type="dxa" w:w="1440"/>
          </w:tcPr>
          <w:p>
            <w:r>
              <w:rPr>
                <w:rFonts w:ascii="Calibri" w:hAnsi="Calibri"/>
                <w:sz w:val="22"/>
              </w:rPr>
              <w:t>$2.13</w:t>
            </w:r>
          </w:p>
        </w:tc>
        <w:tc>
          <w:tcPr>
            <w:tcW w:type="dxa" w:w="1440"/>
          </w:tcPr>
          <w:p>
            <w:r>
              <w:rPr>
                <w:rFonts w:ascii="Calibri" w:hAnsi="Calibri"/>
                <w:b/>
                <w:color w:val="30A46C"/>
                <w:sz w:val="22"/>
              </w:rPr>
              <w:t>+12.7%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Volume — Packaging (KTons)</w:t>
            </w:r>
          </w:p>
        </w:tc>
        <w:tc>
          <w:tcPr>
            <w:tcW w:type="dxa" w:w="1440"/>
          </w:tcPr>
          <w:p>
            <w:r>
              <w:rPr>
                <w:rFonts w:ascii="Calibri" w:hAnsi="Calibri"/>
                <w:sz w:val="22"/>
              </w:rPr>
              <w:t>1,398</w:t>
            </w:r>
          </w:p>
        </w:tc>
        <w:tc>
          <w:tcPr>
            <w:tcW w:type="dxa" w:w="1440"/>
          </w:tcPr>
          <w:p>
            <w:r>
              <w:rPr>
                <w:rFonts w:ascii="Calibri" w:hAnsi="Calibri"/>
                <w:sz w:val="22"/>
              </w:rPr>
              <w:t>1,362</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Operating</w:t>
            </w:r>
          </w:p>
        </w:tc>
        <w:tc>
          <w:tcPr>
            <w:tcW w:type="dxa" w:w="1440"/>
          </w:tcPr>
          <w:p>
            <w:r>
              <w:rPr>
                <w:rFonts w:ascii="Calibri" w:hAnsi="Calibri"/>
                <w:sz w:val="22"/>
              </w:rPr>
              <w:t>$2.32</w:t>
            </w:r>
          </w:p>
        </w:tc>
        <w:tc>
          <w:tcPr>
            <w:tcW w:type="dxa" w:w="1440"/>
          </w:tcPr>
          <w:p>
            <w:r>
              <w:rPr>
                <w:rFonts w:ascii="Calibri" w:hAnsi="Calibri"/>
                <w:sz w:val="22"/>
              </w:rPr>
              <w:t>$2.40</w:t>
            </w:r>
          </w:p>
        </w:tc>
        <w:tc>
          <w:tcPr>
            <w:tcW w:type="dxa" w:w="1440"/>
          </w:tcPr>
          <w:p>
            <w:r>
              <w:rPr>
                <w:rFonts w:ascii="Calibri" w:hAnsi="Calibri"/>
                <w:b/>
                <w:color w:val="E5484D"/>
                <w:sz w:val="22"/>
              </w:rPr>
              <w:t>-3.3%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Volume — Packaging (KTons)</w:t>
            </w:r>
          </w:p>
        </w:tc>
        <w:tc>
          <w:tcPr>
            <w:tcW w:type="dxa" w:w="1440"/>
          </w:tcPr>
          <w:p>
            <w:r>
              <w:rPr>
                <w:rFonts w:ascii="Calibri" w:hAnsi="Calibri"/>
                <w:sz w:val="22"/>
              </w:rPr>
              <w:t>1,407</w:t>
            </w:r>
          </w:p>
        </w:tc>
        <w:tc>
          <w:tcPr>
            <w:tcW w:type="dxa" w:w="1440"/>
          </w:tcPr>
          <w:p>
            <w:r>
              <w:rPr>
                <w:rFonts w:ascii="Calibri" w:hAnsi="Calibri"/>
                <w:sz w:val="22"/>
              </w:rPr>
              <w:t>1,382</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EPS — Diluted Operating</w:t>
            </w:r>
          </w:p>
        </w:tc>
        <w:tc>
          <w:tcPr>
            <w:tcW w:type="dxa" w:w="1440"/>
          </w:tcPr>
          <w:p>
            <w:r>
              <w:rPr>
                <w:rFonts w:ascii="Calibri" w:hAnsi="Calibri"/>
                <w:sz w:val="22"/>
              </w:rPr>
              <w:t>$2.73</w:t>
            </w:r>
          </w:p>
        </w:tc>
        <w:tc>
          <w:tcPr>
            <w:tcW w:type="dxa" w:w="1440"/>
          </w:tcPr>
          <w:p>
            <w:r>
              <w:rPr>
                <w:rFonts w:ascii="Calibri" w:hAnsi="Calibri"/>
                <w:sz w:val="22"/>
              </w:rPr>
              <w:t>$2.81</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Volume — Packaging (KTons)</w:t>
            </w:r>
          </w:p>
        </w:tc>
        <w:tc>
          <w:tcPr>
            <w:tcW w:type="dxa" w:w="1440"/>
          </w:tcPr>
          <w:p>
            <w:r>
              <w:rPr>
                <w:rFonts w:ascii="Calibri" w:hAnsi="Calibri"/>
                <w:sz w:val="22"/>
              </w:rPr>
              <w:t>1,302</w:t>
            </w:r>
          </w:p>
        </w:tc>
        <w:tc>
          <w:tcPr>
            <w:tcW w:type="dxa" w:w="1440"/>
          </w:tcPr>
          <w:p>
            <w:r>
              <w:rPr>
                <w:rFonts w:ascii="Calibri" w:hAnsi="Calibri"/>
                <w:sz w:val="22"/>
              </w:rPr>
              <w:t>1,286</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 Operating</w:t>
            </w:r>
          </w:p>
        </w:tc>
        <w:tc>
          <w:tcPr>
            <w:tcW w:type="dxa" w:w="1440"/>
          </w:tcPr>
          <w:p>
            <w:r>
              <w:rPr>
                <w:rFonts w:ascii="Calibri" w:hAnsi="Calibri"/>
                <w:sz w:val="22"/>
              </w:rPr>
              <w:t>$2.48</w:t>
            </w:r>
          </w:p>
        </w:tc>
        <w:tc>
          <w:tcPr>
            <w:tcW w:type="dxa" w:w="1440"/>
          </w:tcPr>
          <w:p>
            <w:r>
              <w:rPr>
                <w:rFonts w:ascii="Calibri" w:hAnsi="Calibri"/>
                <w:sz w:val="22"/>
              </w:rPr>
              <w:t>$2.44</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Volume — Packaging (KTons)</w:t>
            </w:r>
          </w:p>
        </w:tc>
        <w:tc>
          <w:tcPr>
            <w:tcW w:type="dxa" w:w="1440"/>
          </w:tcPr>
          <w:p>
            <w:r>
              <w:rPr>
                <w:rFonts w:ascii="Calibri" w:hAnsi="Calibri"/>
                <w:sz w:val="22"/>
              </w:rPr>
              <w:t>1,195</w:t>
            </w:r>
          </w:p>
        </w:tc>
        <w:tc>
          <w:tcPr>
            <w:tcW w:type="dxa" w:w="1440"/>
          </w:tcPr>
          <w:p>
            <w:r>
              <w:rPr>
                <w:rFonts w:ascii="Calibri" w:hAnsi="Calibri"/>
                <w:sz w:val="22"/>
              </w:rPr>
              <w:t>1,247</w:t>
            </w:r>
          </w:p>
        </w:tc>
        <w:tc>
          <w:tcPr>
            <w:tcW w:type="dxa" w:w="1440"/>
          </w:tcPr>
          <w:p>
            <w:r>
              <w:rPr>
                <w:rFonts w:ascii="Calibri" w:hAnsi="Calibri"/>
                <w:b/>
                <w:color w:val="E5484D"/>
                <w:sz w:val="22"/>
              </w:rPr>
              <w:t>-4.2%</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EPS — Diluted Operating</w:t>
            </w:r>
          </w:p>
        </w:tc>
        <w:tc>
          <w:tcPr>
            <w:tcW w:type="dxa" w:w="1440"/>
          </w:tcPr>
          <w:p>
            <w:r>
              <w:rPr>
                <w:rFonts w:ascii="Calibri" w:hAnsi="Calibri"/>
                <w:sz w:val="22"/>
              </w:rPr>
              <w:t>$2.31</w:t>
            </w:r>
          </w:p>
        </w:tc>
        <w:tc>
          <w:tcPr>
            <w:tcW w:type="dxa" w:w="1440"/>
          </w:tcPr>
          <w:p>
            <w:r>
              <w:rPr>
                <w:rFonts w:ascii="Calibri" w:hAnsi="Calibri"/>
                <w:sz w:val="22"/>
              </w:rPr>
              <w:t>$2.21</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Volume — Packaging (KTons)</w:t>
            </w:r>
          </w:p>
        </w:tc>
        <w:tc>
          <w:tcPr>
            <w:tcW w:type="dxa" w:w="1440"/>
          </w:tcPr>
          <w:p>
            <w:r>
              <w:rPr>
                <w:rFonts w:ascii="Calibri" w:hAnsi="Calibri"/>
                <w:sz w:val="22"/>
              </w:rPr>
              <w:t>1,250</w:t>
            </w:r>
          </w:p>
        </w:tc>
        <w:tc>
          <w:tcPr>
            <w:tcW w:type="dxa" w:w="1440"/>
          </w:tcPr>
          <w:p>
            <w:r>
              <w:rPr>
                <w:rFonts w:ascii="Calibri" w:hAnsi="Calibri"/>
                <w:sz w:val="22"/>
              </w:rPr>
              <w:t>1,215</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EPS — Diluted Operating</w:t>
            </w:r>
          </w:p>
        </w:tc>
        <w:tc>
          <w:tcPr>
            <w:tcW w:type="dxa" w:w="1440"/>
          </w:tcPr>
          <w:p>
            <w:r>
              <w:rPr>
                <w:rFonts w:ascii="Calibri" w:hAnsi="Calibri"/>
                <w:sz w:val="22"/>
              </w:rPr>
              <w:t>$2.47</w:t>
            </w:r>
          </w:p>
        </w:tc>
        <w:tc>
          <w:tcPr>
            <w:tcW w:type="dxa" w:w="1440"/>
          </w:tcPr>
          <w:p>
            <w:r>
              <w:rPr>
                <w:rFonts w:ascii="Calibri" w:hAnsi="Calibri"/>
                <w:sz w:val="22"/>
              </w:rPr>
              <w:t>$2.55</w:t>
            </w:r>
          </w:p>
        </w:tc>
        <w:tc>
          <w:tcPr>
            <w:tcW w:type="dxa" w:w="1440"/>
          </w:tcPr>
          <w:p>
            <w:r>
              <w:rPr>
                <w:rFonts w:ascii="Calibri" w:hAnsi="Calibri"/>
                <w:b/>
                <w:color w:val="E5484D"/>
                <w:sz w:val="22"/>
              </w:rPr>
              <w:t>-3.1%</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Volume — Packaging (KTons)</w:t>
            </w:r>
          </w:p>
        </w:tc>
        <w:tc>
          <w:tcPr>
            <w:tcW w:type="dxa" w:w="1440"/>
          </w:tcPr>
          <w:p>
            <w:r>
              <w:rPr>
                <w:rFonts w:ascii="Calibri" w:hAnsi="Calibri"/>
                <w:sz w:val="22"/>
              </w:rPr>
              <w:t>1,310</w:t>
            </w:r>
          </w:p>
        </w:tc>
        <w:tc>
          <w:tcPr>
            <w:tcW w:type="dxa" w:w="1440"/>
          </w:tcPr>
          <w:p>
            <w:r>
              <w:rPr>
                <w:rFonts w:ascii="Calibri" w:hAnsi="Calibri"/>
                <w:sz w:val="22"/>
              </w:rPr>
              <w:t>1,269</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EPS — Diluted Operating</w:t>
            </w:r>
          </w:p>
        </w:tc>
        <w:tc>
          <w:tcPr>
            <w:tcW w:type="dxa" w:w="1440"/>
          </w:tcPr>
          <w:p>
            <w:r>
              <w:rPr>
                <w:rFonts w:ascii="Calibri" w:hAnsi="Calibri"/>
                <w:sz w:val="22"/>
              </w:rPr>
              <w:t>$2.65</w:t>
            </w:r>
          </w:p>
        </w:tc>
        <w:tc>
          <w:tcPr>
            <w:tcW w:type="dxa" w:w="1440"/>
          </w:tcPr>
          <w:p>
            <w:r>
              <w:rPr>
                <w:rFonts w:ascii="Calibri" w:hAnsi="Calibri"/>
                <w:sz w:val="22"/>
              </w:rPr>
              <w:t>$2.50</w:t>
            </w:r>
          </w:p>
        </w:tc>
        <w:tc>
          <w:tcPr>
            <w:tcW w:type="dxa" w:w="1440"/>
          </w:tcPr>
          <w:p>
            <w:r>
              <w:rPr>
                <w:rFonts w:ascii="Calibri" w:hAnsi="Calibri"/>
                <w:b/>
                <w:color w:val="30A46C"/>
                <w:sz w:val="22"/>
              </w:rPr>
              <w:t>+6.0%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Volume — Packaging (KTons)</w:t>
            </w:r>
          </w:p>
        </w:tc>
        <w:tc>
          <w:tcPr>
            <w:tcW w:type="dxa" w:w="1440"/>
          </w:tcPr>
          <w:p>
            <w:r>
              <w:rPr>
                <w:rFonts w:ascii="Calibri" w:hAnsi="Calibri"/>
                <w:sz w:val="22"/>
              </w:rPr>
              <w:t>1,293</w:t>
            </w:r>
          </w:p>
        </w:tc>
        <w:tc>
          <w:tcPr>
            <w:tcW w:type="dxa" w:w="1440"/>
          </w:tcPr>
          <w:p>
            <w:r>
              <w:rPr>
                <w:rFonts w:ascii="Calibri" w:hAnsi="Calibri"/>
                <w:sz w:val="22"/>
              </w:rPr>
              <w:t>1,226</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EPS — Diluted Operating</w:t>
            </w:r>
          </w:p>
        </w:tc>
        <w:tc>
          <w:tcPr>
            <w:tcW w:type="dxa" w:w="1440"/>
          </w:tcPr>
          <w:p>
            <w:r>
              <w:rPr>
                <w:rFonts w:ascii="Calibri" w:hAnsi="Calibri"/>
                <w:sz w:val="22"/>
              </w:rPr>
              <w:t>$2.20</w:t>
            </w:r>
          </w:p>
        </w:tc>
        <w:tc>
          <w:tcPr>
            <w:tcW w:type="dxa" w:w="1440"/>
          </w:tcPr>
          <w:p>
            <w:r>
              <w:rPr>
                <w:rFonts w:ascii="Calibri" w:hAnsi="Calibri"/>
                <w:sz w:val="22"/>
              </w:rPr>
              <w:t>$2.14</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Volume — Packaging (KTons)</w:t>
            </w:r>
          </w:p>
        </w:tc>
        <w:tc>
          <w:tcPr>
            <w:tcW w:type="dxa" w:w="1440"/>
          </w:tcPr>
          <w:p>
            <w:r>
              <w:rPr>
                <w:rFonts w:ascii="Calibri" w:hAnsi="Calibri"/>
                <w:sz w:val="22"/>
              </w:rPr>
              <w:t>1,281</w:t>
            </w:r>
          </w:p>
        </w:tc>
        <w:tc>
          <w:tcPr>
            <w:tcW w:type="dxa" w:w="1440"/>
          </w:tcPr>
          <w:p>
            <w:r>
              <w:rPr>
                <w:rFonts w:ascii="Calibri" w:hAnsi="Calibri"/>
                <w:sz w:val="22"/>
              </w:rPr>
              <w:t>1,182</w:t>
            </w:r>
          </w:p>
        </w:tc>
        <w:tc>
          <w:tcPr>
            <w:tcW w:type="dxa" w:w="1440"/>
          </w:tcPr>
          <w:p>
            <w:r>
              <w:rPr>
                <w:rFonts w:ascii="Calibri" w:hAnsi="Calibri"/>
                <w:b/>
                <w:color w:val="30A46C"/>
                <w:sz w:val="22"/>
              </w:rPr>
              <w:t>+8.4%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PKG has beaten EPS consensus in 5 of the last 8 quarters, with the two misses (Q3 2025, Q4 2024) occurring in quarters with heavy maintenance outage schedules — the same dynamic at play in Q2 2026. Volume has beaten consensus in 7 of 8 quarters, reflecting consistent demand outperformance; the one miss (Q2 2025) was pre-Greif acquisition.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Q2 guidance set a deliberately low bar at the Q1 print, citing the heaviest outage quarter of the year and freight/fiber headwinds; </w:t>
      </w:r>
      <w:r>
        <w:rPr>
          <w:rFonts w:ascii="Calibri" w:hAnsi="Calibri"/>
          <w:b/>
          <w:color w:val="525866"/>
          <w:sz w:val="22"/>
        </w:rPr>
        <w:t>tone has remained constructive on demand and the Q3 inflection</w:t>
      </w:r>
      <w:r>
        <w:rPr>
          <w:rFonts w:ascii="Calibri" w:hAnsi="Calibri"/>
          <w:color w:val="525866"/>
          <w:sz w:val="22"/>
        </w:rPr>
        <w:t>, with the Wells Fargo conference (June 10) reinforcing the positive volume and pricing narrative without changing formal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 Diluted Operating</w:t>
            </w:r>
          </w:p>
        </w:tc>
        <w:tc>
          <w:tcPr>
            <w:tcW w:type="dxa" w:w="1728"/>
          </w:tcPr>
          <w:p>
            <w:r>
              <w:rPr>
                <w:rFonts w:ascii="Calibri" w:hAnsi="Calibri"/>
                <w:sz w:val="22"/>
              </w:rPr>
              <w:t>Well below Street consensus of ~$2.35 at time of print; management guided to a range implying ~$2.10–$2.25 (not explicitly stated as a range but described as significantly below consensus)</w:t>
            </w:r>
          </w:p>
        </w:tc>
        <w:tc>
          <w:tcPr>
            <w:tcW w:type="dxa" w:w="1728"/>
          </w:tcPr>
          <w:p>
            <w:r>
              <w:rPr>
                <w:rFonts w:ascii="Calibri" w:hAnsi="Calibri"/>
                <w:sz w:val="22"/>
              </w:rPr>
              <w:t>—</w:t>
            </w:r>
          </w:p>
        </w:tc>
        <w:tc>
          <w:tcPr>
            <w:tcW w:type="dxa" w:w="1728"/>
          </w:tcPr>
          <w:p>
            <w:r>
              <w:rPr>
                <w:rFonts w:ascii="Calibri" w:hAnsi="Calibri"/>
                <w:sz w:val="22"/>
              </w:rPr>
              <w:t>$2.31</w:t>
            </w:r>
          </w:p>
        </w:tc>
        <w:tc>
          <w:tcPr>
            <w:tcW w:type="dxa" w:w="1728"/>
          </w:tcPr>
          <w:p>
            <w:r>
              <w:rPr>
                <w:rFonts w:ascii="Calibri" w:hAnsi="Calibri"/>
                <w:sz w:val="22"/>
              </w:rPr>
              <w:t>Guidance unchanged since Q1 print; Wells Fargo conf. (Jun 10) reinforced constructive demand tone but no formal revision</w:t>
            </w:r>
          </w:p>
        </w:tc>
      </w:tr>
      <w:tr>
        <w:tc>
          <w:tcPr>
            <w:tcW w:type="dxa" w:w="1728"/>
          </w:tcPr>
          <w:p>
            <w:r>
              <w:rPr>
                <w:rFonts w:ascii="Calibri" w:hAnsi="Calibri"/>
                <w:sz w:val="22"/>
              </w:rPr>
              <w:t>Maintenance Outage Expense (FY 2026)</w:t>
            </w:r>
          </w:p>
        </w:tc>
        <w:tc>
          <w:tcPr>
            <w:tcW w:type="dxa" w:w="1728"/>
          </w:tcPr>
          <w:p>
            <w:r>
              <w:rPr>
                <w:rFonts w:ascii="Calibri" w:hAnsi="Calibri"/>
                <w:sz w:val="22"/>
              </w:rPr>
              <w:t>~$1.44/share total; Q2 carries the largest single-quarter burden of the year</w:t>
            </w:r>
          </w:p>
        </w:tc>
        <w:tc>
          <w:tcPr>
            <w:tcW w:type="dxa" w:w="1728"/>
          </w:tcPr>
          <w:p>
            <w:r>
              <w:rPr>
                <w:rFonts w:ascii="Calibri" w:hAnsi="Calibri"/>
                <w:sz w:val="22"/>
              </w:rPr>
              <w:t>—</w:t>
            </w:r>
          </w:p>
        </w:tc>
        <w:tc>
          <w:tcPr>
            <w:tcW w:type="dxa" w:w="1728"/>
          </w:tcPr>
          <w:p>
            <w:r>
              <w:rPr>
                <w:rFonts w:ascii="Calibri" w:hAnsi="Calibri"/>
                <w:sz w:val="22"/>
              </w:rPr>
              <w:t>Unchanged</w:t>
            </w:r>
          </w:p>
        </w:tc>
        <w:tc>
          <w:tcPr>
            <w:tcW w:type="dxa" w:w="1728"/>
          </w:tcPr>
          <w:p>
            <w:r>
              <w:rPr>
                <w:rFonts w:ascii="Calibri" w:hAnsi="Calibri"/>
                <w:sz w:val="22"/>
              </w:rPr>
              <w:t>Q2 outage schedule confirmed as heaviest of year; no change</w:t>
            </w:r>
          </w:p>
        </w:tc>
      </w:tr>
      <w:tr>
        <w:tc>
          <w:tcPr>
            <w:tcW w:type="dxa" w:w="1728"/>
          </w:tcPr>
          <w:p>
            <w:r>
              <w:rPr>
                <w:rFonts w:ascii="Calibri" w:hAnsi="Calibri"/>
                <w:sz w:val="22"/>
              </w:rPr>
              <w:t>Containerboard Price Increase #1 ($50/ton, Mar effective)</w:t>
            </w:r>
          </w:p>
        </w:tc>
        <w:tc>
          <w:tcPr>
            <w:tcW w:type="dxa" w:w="1728"/>
          </w:tcPr>
          <w:p>
            <w:r>
              <w:rPr>
                <w:rFonts w:ascii="Calibri" w:hAnsi="Calibri"/>
                <w:sz w:val="22"/>
              </w:rPr>
              <w:t>Described as 'muddy' in Q1; no meaningful Q1 benefit; substantially all benefit expected in Q3</w:t>
            </w:r>
          </w:p>
        </w:tc>
        <w:tc>
          <w:tcPr>
            <w:tcW w:type="dxa" w:w="1728"/>
          </w:tcPr>
          <w:p>
            <w:r>
              <w:rPr>
                <w:rFonts w:ascii="Calibri" w:hAnsi="Calibri"/>
                <w:sz w:val="22"/>
              </w:rPr>
              <w:t>—</w:t>
            </w:r>
          </w:p>
        </w:tc>
        <w:tc>
          <w:tcPr>
            <w:tcW w:type="dxa" w:w="1728"/>
          </w:tcPr>
          <w:p>
            <w:r>
              <w:rPr>
                <w:rFonts w:ascii="Calibri" w:hAnsi="Calibri"/>
                <w:sz w:val="22"/>
              </w:rPr>
              <w:t>First increase beginning to be meaningfully recognized in corrugated in June</w:t>
            </w:r>
          </w:p>
        </w:tc>
        <w:tc>
          <w:tcPr>
            <w:tcW w:type="dxa" w:w="1728"/>
          </w:tcPr>
          <w:p>
            <w:r>
              <w:rPr>
                <w:rFonts w:ascii="Calibri" w:hAnsi="Calibri"/>
                <w:sz w:val="22"/>
              </w:rPr>
              <w:t>Management confirmed June recognition at Q1 call; Q3 is the full-benefit quarter</w:t>
            </w:r>
          </w:p>
        </w:tc>
      </w:tr>
      <w:tr>
        <w:tc>
          <w:tcPr>
            <w:tcW w:type="dxa" w:w="1728"/>
          </w:tcPr>
          <w:p>
            <w:r>
              <w:rPr>
                <w:rFonts w:ascii="Calibri" w:hAnsi="Calibri"/>
                <w:sz w:val="22"/>
              </w:rPr>
              <w:t>Containerboard Price Increase #2 ($50/ton, Jun 1 effective)</w:t>
            </w:r>
          </w:p>
        </w:tc>
        <w:tc>
          <w:tcPr>
            <w:tcW w:type="dxa" w:w="1728"/>
          </w:tcPr>
          <w:p>
            <w:r>
              <w:rPr>
                <w:rFonts w:ascii="Calibri" w:hAnsi="Calibri"/>
                <w:sz w:val="22"/>
              </w:rPr>
              <w:t>Announced effective June 1; expected to begin showing results in Q3</w:t>
            </w:r>
          </w:p>
        </w:tc>
        <w:tc>
          <w:tcPr>
            <w:tcW w:type="dxa" w:w="1728"/>
          </w:tcPr>
          <w:p>
            <w:r>
              <w:rPr>
                <w:rFonts w:ascii="Calibri" w:hAnsi="Calibri"/>
                <w:sz w:val="22"/>
              </w:rPr>
              <w:t>—</w:t>
            </w:r>
          </w:p>
        </w:tc>
        <w:tc>
          <w:tcPr>
            <w:tcW w:type="dxa" w:w="1728"/>
          </w:tcPr>
          <w:p>
            <w:r>
              <w:rPr>
                <w:rFonts w:ascii="Calibri" w:hAnsi="Calibri"/>
                <w:sz w:val="22"/>
              </w:rPr>
              <w:t>N/A — Q3 benefit</w:t>
            </w:r>
          </w:p>
        </w:tc>
        <w:tc>
          <w:tcPr>
            <w:tcW w:type="dxa" w:w="1728"/>
          </w:tcPr>
          <w:p>
            <w:r>
              <w:rPr>
                <w:rFonts w:ascii="Calibri" w:hAnsi="Calibri"/>
                <w:sz w:val="22"/>
              </w:rPr>
              <w:t>Both increases expected to be substantially recognized in Q3; no pre-buy activity observed</w:t>
            </w:r>
          </w:p>
        </w:tc>
      </w:tr>
      <w:tr>
        <w:tc>
          <w:tcPr>
            <w:tcW w:type="dxa" w:w="1728"/>
          </w:tcPr>
          <w:p>
            <w:r>
              <w:rPr>
                <w:rFonts w:ascii="Calibri" w:hAnsi="Calibri"/>
                <w:sz w:val="22"/>
              </w:rPr>
              <w:t>Freight Costs (Q2)</w:t>
            </w:r>
          </w:p>
        </w:tc>
        <w:tc>
          <w:tcPr>
            <w:tcW w:type="dxa" w:w="1728"/>
          </w:tcPr>
          <w:p>
            <w:r>
              <w:rPr>
                <w:rFonts w:ascii="Calibri" w:hAnsi="Calibri"/>
                <w:sz w:val="22"/>
              </w:rPr>
              <w:t>Running meaningfully unfavorable to guidance; no relief expected in June; driven by higher diesel, greater shipping distances, increased spot freight</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Key Q2 earnings risk; trajectory into Q3 is the critical watch item</w:t>
            </w:r>
          </w:p>
        </w:tc>
      </w:tr>
      <w:tr>
        <w:tc>
          <w:tcPr>
            <w:tcW w:type="dxa" w:w="1728"/>
          </w:tcPr>
          <w:p>
            <w:r>
              <w:rPr>
                <w:rFonts w:ascii="Calibri" w:hAnsi="Calibri"/>
                <w:sz w:val="22"/>
              </w:rPr>
              <w:t>Recycled Fiber Costs (Q2)</w:t>
            </w:r>
          </w:p>
        </w:tc>
        <w:tc>
          <w:tcPr>
            <w:tcW w:type="dxa" w:w="1728"/>
          </w:tcPr>
          <w:p>
            <w:r>
              <w:rPr>
                <w:rFonts w:ascii="Calibri" w:hAnsi="Calibri"/>
                <w:sz w:val="22"/>
              </w:rPr>
              <w:t>Escalated more than planned; tracking slightly favorable to guidance through May by shifting to virgin fiber and maximizing yields</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Fiber flexibility (integrated virgin kraft) cited as key differentiator; slight favorable vs. guidance through May</w:t>
            </w:r>
          </w:p>
        </w:tc>
      </w:tr>
      <w:tr>
        <w:tc>
          <w:tcPr>
            <w:tcW w:type="dxa" w:w="1728"/>
          </w:tcPr>
          <w:p>
            <w:r>
              <w:rPr>
                <w:rFonts w:ascii="Calibri" w:hAnsi="Calibri"/>
                <w:sz w:val="22"/>
              </w:rPr>
              <w:t>FY 2026 EPS Consensus</w:t>
            </w:r>
          </w:p>
        </w:tc>
        <w:tc>
          <w:tcPr>
            <w:tcW w:type="dxa" w:w="1728"/>
          </w:tcPr>
          <w:p>
            <w:r>
              <w:rPr>
                <w:rFonts w:ascii="Calibri" w:hAnsi="Calibri"/>
                <w:sz w:val="22"/>
              </w:rPr>
              <w:t>$10.37 (as of Apr 28, 2026 — 5 days post Q1 print)</w:t>
            </w:r>
          </w:p>
        </w:tc>
        <w:tc>
          <w:tcPr>
            <w:tcW w:type="dxa" w:w="1728"/>
          </w:tcPr>
          <w:p>
            <w:r>
              <w:rPr>
                <w:rFonts w:ascii="Calibri" w:hAnsi="Calibri"/>
                <w:sz w:val="22"/>
              </w:rPr>
              <w:t>—</w:t>
            </w:r>
          </w:p>
        </w:tc>
        <w:tc>
          <w:tcPr>
            <w:tcW w:type="dxa" w:w="1728"/>
          </w:tcPr>
          <w:p>
            <w:r>
              <w:rPr>
                <w:rFonts w:ascii="Calibri" w:hAnsi="Calibri"/>
                <w:sz w:val="22"/>
              </w:rPr>
              <w:t>$10.45</w:t>
            </w:r>
          </w:p>
        </w:tc>
        <w:tc>
          <w:tcPr>
            <w:tcW w:type="dxa" w:w="1728"/>
          </w:tcPr>
          <w:p>
            <w:r>
              <w:rPr>
                <w:rFonts w:ascii="Calibri" w:hAnsi="Calibri"/>
                <w:sz w:val="22"/>
              </w:rPr>
              <w:t>↑ Modest upward revision (+0.8%) since Q1 print; Street incrementally more confident in back-half ramp</w:t>
            </w:r>
          </w:p>
        </w:tc>
      </w:tr>
      <w:tr>
        <w:tc>
          <w:tcPr>
            <w:tcW w:type="dxa" w:w="1728"/>
          </w:tcPr>
          <w:p>
            <w:r>
              <w:rPr>
                <w:rFonts w:ascii="Calibri" w:hAnsi="Calibri"/>
                <w:sz w:val="22"/>
              </w:rPr>
              <w:t>Dividend</w:t>
            </w:r>
          </w:p>
        </w:tc>
        <w:tc>
          <w:tcPr>
            <w:tcW w:type="dxa" w:w="1728"/>
          </w:tcPr>
          <w:p>
            <w:r>
              <w:rPr>
                <w:rFonts w:ascii="Calibri" w:hAnsi="Calibri"/>
                <w:sz w:val="22"/>
              </w:rPr>
              <w:t>Raised quarterly dividend ~20% (announced alongside Q1 results)</w:t>
            </w:r>
          </w:p>
        </w:tc>
        <w:tc>
          <w:tcPr>
            <w:tcW w:type="dxa" w:w="1728"/>
          </w:tcPr>
          <w:p>
            <w:r>
              <w:rPr>
                <w:rFonts w:ascii="Calibri" w:hAnsi="Calibri"/>
                <w:sz w:val="22"/>
              </w:rPr>
              <w:t>—</w:t>
            </w:r>
          </w:p>
        </w:tc>
        <w:tc>
          <w:tcPr>
            <w:tcW w:type="dxa" w:w="1728"/>
          </w:tcPr>
          <w:p>
            <w:r>
              <w:rPr>
                <w:rFonts w:ascii="Calibri" w:hAnsi="Calibri"/>
                <w:sz w:val="22"/>
              </w:rPr>
              <w:t>In effect</w:t>
            </w:r>
          </w:p>
        </w:tc>
        <w:tc>
          <w:tcPr>
            <w:tcW w:type="dxa" w:w="1728"/>
          </w:tcPr>
          <w:p>
            <w:r>
              <w:rPr>
                <w:rFonts w:ascii="Calibri" w:hAnsi="Calibri"/>
                <w:sz w:val="22"/>
              </w:rPr>
              <w:t>Signals management confidence in FCF generation; no further change since Q1</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for both Q2 and FY 2026, suggesting the Street has incrementally gained confidence in the back-half ramp; </w:t>
      </w:r>
      <w:r>
        <w:rPr>
          <w:rFonts w:ascii="Calibri" w:hAnsi="Calibri"/>
          <w:b/>
          <w:color w:val="525866"/>
          <w:sz w:val="22"/>
        </w:rPr>
        <w:t>the gap between current consensus and management's implied Q2 guidance is narrow</w:t>
      </w:r>
      <w:r>
        <w:rPr>
          <w:rFonts w:ascii="Calibri" w:hAnsi="Calibri"/>
          <w:color w:val="525866"/>
          <w:sz w:val="22"/>
        </w:rPr>
        <w:t>, meaning the bar is achievable but freight cost severity remains the key risk to even this low hurdle.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28,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 Q2 2026</w:t>
            </w:r>
          </w:p>
        </w:tc>
        <w:tc>
          <w:tcPr>
            <w:tcW w:type="dxa" w:w="1080"/>
          </w:tcPr>
          <w:p>
            <w:r>
              <w:rPr>
                <w:rFonts w:ascii="Calibri" w:hAnsi="Calibri"/>
                <w:sz w:val="22"/>
              </w:rPr>
              <w:t>$2.350</w:t>
            </w:r>
          </w:p>
        </w:tc>
        <w:tc>
          <w:tcPr>
            <w:tcW w:type="dxa" w:w="1080"/>
          </w:tcPr>
          <w:p>
            <w:r>
              <w:rPr>
                <w:rFonts w:ascii="Calibri" w:hAnsi="Calibri"/>
                <w:sz w:val="22"/>
              </w:rPr>
              <w:t>$2.312</w:t>
            </w:r>
          </w:p>
        </w:tc>
        <w:tc>
          <w:tcPr>
            <w:tcW w:type="dxa" w:w="1080"/>
          </w:tcPr>
          <w:p>
            <w:r>
              <w:rPr>
                <w:rFonts w:ascii="Calibri" w:hAnsi="Calibri"/>
                <w:b/>
                <w:color w:val="E5484D"/>
                <w:sz w:val="22"/>
              </w:rPr>
              <w:t>-1.6%</w:t>
            </w:r>
          </w:p>
        </w:tc>
        <w:tc>
          <w:tcPr>
            <w:tcW w:type="dxa" w:w="1080"/>
          </w:tcPr>
          <w:p>
            <w:r>
              <w:rPr>
                <w:rFonts w:ascii="Calibri" w:hAnsi="Calibri"/>
                <w:sz w:val="22"/>
              </w:rPr>
              <w:t>Well below Street; mgmt implied ~$2.10–$2.25 range (not formally stated)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~$0.06–$0.20 above implied guidance midpoint; low bar</w:t>
            </w:r>
          </w:p>
        </w:tc>
      </w:tr>
      <w:tr>
        <w:tc>
          <w:tcPr>
            <w:tcW w:type="dxa" w:w="1080"/>
          </w:tcPr>
          <w:p>
            <w:r>
              <w:rPr>
                <w:rFonts w:ascii="Calibri" w:hAnsi="Calibri"/>
                <w:sz w:val="22"/>
              </w:rPr>
              <w:t>EPS — Diluted Operating — FY 2026</w:t>
            </w:r>
          </w:p>
        </w:tc>
        <w:tc>
          <w:tcPr>
            <w:tcW w:type="dxa" w:w="1080"/>
          </w:tcPr>
          <w:p>
            <w:r>
              <w:rPr>
                <w:rFonts w:ascii="Calibri" w:hAnsi="Calibri"/>
                <w:sz w:val="22"/>
              </w:rPr>
              <w:t>$10.371</w:t>
            </w:r>
          </w:p>
        </w:tc>
        <w:tc>
          <w:tcPr>
            <w:tcW w:type="dxa" w:w="1080"/>
          </w:tcPr>
          <w:p>
            <w:r>
              <w:rPr>
                <w:rFonts w:ascii="Calibri" w:hAnsi="Calibri"/>
                <w:sz w:val="22"/>
              </w:rPr>
              <w:t>$10.453</w:t>
            </w:r>
          </w:p>
        </w:tc>
        <w:tc>
          <w:tcPr>
            <w:tcW w:type="dxa" w:w="1080"/>
          </w:tcPr>
          <w:p>
            <w:r>
              <w:rPr>
                <w:rFonts w:ascii="Calibri" w:hAnsi="Calibri"/>
                <w:b/>
                <w:color w:val="30A46C"/>
                <w:sz w:val="22"/>
              </w:rPr>
              <w:t>+0.8%</w:t>
            </w:r>
          </w:p>
        </w:tc>
        <w:tc>
          <w:tcPr>
            <w:tcW w:type="dxa" w:w="1080"/>
          </w:tcPr>
          <w:p>
            <w:r>
              <w:rPr>
                <w:rFonts w:ascii="Calibri" w:hAnsi="Calibri"/>
                <w:sz w:val="22"/>
              </w:rPr>
              <w:t>No explicit FY EPS guidance provided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Q2 2026 ($B)</w:t>
            </w:r>
          </w:p>
        </w:tc>
        <w:tc>
          <w:tcPr>
            <w:tcW w:type="dxa" w:w="1080"/>
          </w:tcPr>
          <w:p>
            <w:r>
              <w:rPr>
                <w:rFonts w:ascii="Calibri" w:hAnsi="Calibri"/>
                <w:sz w:val="22"/>
              </w:rPr>
              <w:t>$2.493B</w:t>
            </w:r>
          </w:p>
        </w:tc>
        <w:tc>
          <w:tcPr>
            <w:tcW w:type="dxa" w:w="1080"/>
          </w:tcPr>
          <w:p>
            <w:r>
              <w:rPr>
                <w:rFonts w:ascii="Calibri" w:hAnsi="Calibri"/>
                <w:sz w:val="22"/>
              </w:rPr>
              <w:t>$2.502B</w:t>
            </w:r>
          </w:p>
        </w:tc>
        <w:tc>
          <w:tcPr>
            <w:tcW w:type="dxa" w:w="1080"/>
          </w:tcPr>
          <w:p>
            <w:r>
              <w:rPr>
                <w:rFonts w:ascii="Calibri" w:hAnsi="Calibri"/>
                <w:b/>
                <w:color w:val="30A46C"/>
                <w:sz w:val="22"/>
              </w:rPr>
              <w:t>+0.4%</w:t>
            </w:r>
          </w:p>
        </w:tc>
        <w:tc>
          <w:tcPr>
            <w:tcW w:type="dxa" w:w="1080"/>
          </w:tcPr>
          <w:p>
            <w:r>
              <w:rPr>
                <w:rFonts w:ascii="Calibri" w:hAnsi="Calibri"/>
                <w:sz w:val="22"/>
              </w:rPr>
              <w:t>No explicit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 2026 ($B)</w:t>
            </w:r>
          </w:p>
        </w:tc>
        <w:tc>
          <w:tcPr>
            <w:tcW w:type="dxa" w:w="1080"/>
          </w:tcPr>
          <w:p>
            <w:r>
              <w:rPr>
                <w:rFonts w:ascii="Calibri" w:hAnsi="Calibri"/>
                <w:sz w:val="22"/>
              </w:rPr>
              <w:t>$9.969B</w:t>
            </w:r>
          </w:p>
        </w:tc>
        <w:tc>
          <w:tcPr>
            <w:tcW w:type="dxa" w:w="1080"/>
          </w:tcPr>
          <w:p>
            <w:r>
              <w:rPr>
                <w:rFonts w:ascii="Calibri" w:hAnsi="Calibri"/>
                <w:sz w:val="22"/>
              </w:rPr>
              <w:t>$10.063B</w:t>
            </w:r>
          </w:p>
        </w:tc>
        <w:tc>
          <w:tcPr>
            <w:tcW w:type="dxa" w:w="1080"/>
          </w:tcPr>
          <w:p>
            <w:r>
              <w:rPr>
                <w:rFonts w:ascii="Calibri" w:hAnsi="Calibri"/>
                <w:b/>
                <w:color w:val="30A46C"/>
                <w:sz w:val="22"/>
              </w:rPr>
              <w:t>+0.9%</w:t>
            </w:r>
          </w:p>
        </w:tc>
        <w:tc>
          <w:tcPr>
            <w:tcW w:type="dxa" w:w="1080"/>
          </w:tcPr>
          <w:p>
            <w:r>
              <w:rPr>
                <w:rFonts w:ascii="Calibri" w:hAnsi="Calibri"/>
                <w:sz w:val="22"/>
              </w:rPr>
              <w:t>No explicit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Q2 2026 ($M)</w:t>
            </w:r>
          </w:p>
        </w:tc>
        <w:tc>
          <w:tcPr>
            <w:tcW w:type="dxa" w:w="1080"/>
          </w:tcPr>
          <w:p>
            <w:r>
              <w:rPr>
                <w:rFonts w:ascii="Calibri" w:hAnsi="Calibri"/>
                <w:sz w:val="22"/>
              </w:rPr>
              <w:t>$490.6M</w:t>
            </w:r>
          </w:p>
        </w:tc>
        <w:tc>
          <w:tcPr>
            <w:tcW w:type="dxa" w:w="1080"/>
          </w:tcPr>
          <w:p>
            <w:r>
              <w:rPr>
                <w:rFonts w:ascii="Calibri" w:hAnsi="Calibri"/>
                <w:sz w:val="22"/>
              </w:rPr>
              <w:t>$491.5M</w:t>
            </w:r>
          </w:p>
        </w:tc>
        <w:tc>
          <w:tcPr>
            <w:tcW w:type="dxa" w:w="1080"/>
          </w:tcPr>
          <w:p>
            <w:r>
              <w:rPr>
                <w:rFonts w:ascii="Calibri" w:hAnsi="Calibri"/>
                <w:sz w:val="22"/>
              </w:rPr>
              <w:t>+0.2%</w:t>
            </w:r>
          </w:p>
        </w:tc>
        <w:tc>
          <w:tcPr>
            <w:tcW w:type="dxa" w:w="1080"/>
          </w:tcPr>
          <w:p>
            <w:r>
              <w:rPr>
                <w:rFonts w:ascii="Calibri" w:hAnsi="Calibri"/>
                <w:sz w:val="22"/>
              </w:rPr>
              <w:t>No explicit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EBITDA — FY 2026 ($B)</w:t>
            </w:r>
          </w:p>
        </w:tc>
        <w:tc>
          <w:tcPr>
            <w:tcW w:type="dxa" w:w="1080"/>
          </w:tcPr>
          <w:p>
            <w:r>
              <w:rPr>
                <w:rFonts w:ascii="Calibri" w:hAnsi="Calibri"/>
                <w:sz w:val="22"/>
              </w:rPr>
              <w:t>$2.062B</w:t>
            </w:r>
          </w:p>
        </w:tc>
        <w:tc>
          <w:tcPr>
            <w:tcW w:type="dxa" w:w="1080"/>
          </w:tcPr>
          <w:p>
            <w:r>
              <w:rPr>
                <w:rFonts w:ascii="Calibri" w:hAnsi="Calibri"/>
                <w:sz w:val="22"/>
              </w:rPr>
              <w:t>$2.049B</w:t>
            </w:r>
          </w:p>
        </w:tc>
        <w:tc>
          <w:tcPr>
            <w:tcW w:type="dxa" w:w="1080"/>
          </w:tcPr>
          <w:p>
            <w:r>
              <w:rPr>
                <w:rFonts w:ascii="Calibri" w:hAnsi="Calibri"/>
                <w:b/>
                <w:color w:val="E5484D"/>
                <w:sz w:val="22"/>
              </w:rPr>
              <w:t>-0.6%</w:t>
            </w:r>
          </w:p>
        </w:tc>
        <w:tc>
          <w:tcPr>
            <w:tcW w:type="dxa" w:w="1080"/>
          </w:tcPr>
          <w:p>
            <w:r>
              <w:rPr>
                <w:rFonts w:ascii="Calibri" w:hAnsi="Calibri"/>
                <w:sz w:val="22"/>
              </w:rPr>
              <w:t>No explicit EBITDA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date (Apr 28, 2026) represents 5 trading days after the Q1 2026 earnings release (Apr 22, 2026). Estimates have drifted modestly higher for EPS and revenue since the Q1 print, consistent with the Street incrementally pricing in the Q3 price-increase flow-through. The slight EBITDA FY 2026 revision lower (-0.6%) likely reflects updated freight and fiber cost assumptions. The Q2 EPS estimate has actually ticked down slightly (-1.6%) from the post-Q1 baseline, suggesting analysts have incorporated management's cautious freight commentary.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PKG has outperformed both IP (+11.2% vs. +9.1% for IP and +8.5% for SW since the Q1 print), driven primarily by </w:t>
      </w:r>
      <w:r>
        <w:rPr>
          <w:rFonts w:ascii="Calibri" w:hAnsi="Calibri"/>
          <w:b/>
          <w:color w:val="525866"/>
          <w:sz w:val="22"/>
        </w:rPr>
        <w:t>sentiment re-rating on the demand inflection narrative and pricing power story</w:t>
      </w:r>
      <w:r>
        <w:rPr>
          <w:rFonts w:ascii="Calibri" w:hAnsi="Calibri"/>
          <w:color w:val="525866"/>
          <w:sz w:val="22"/>
        </w:rPr>
        <w:t xml:space="preserve"> rather than estimate revisions alone — the stock is pricing in a strong Q3 and the market appears willing to look through Q2 weakness.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PKG vs. IP vs. SW — Indexed Price Since Q1 2026 Earnings (Apr 22, 2026). Base = 100. Source: Stock Price Data.</w:t>
      </w:r>
    </w:p>
    <w:p>
      <w:r>
        <w:rPr>
          <w:rFonts w:ascii="Calibri" w:hAnsi="Calibri"/>
          <w:b/>
          <w:color w:val="525866"/>
          <w:sz w:val="22"/>
        </w:rPr>
        <w:t>Performance Summary (Apr 22 – Jul 21, 2026):</w:t>
      </w:r>
    </w:p>
    <w:p>
      <w:pPr>
        <w:pStyle w:val="ListBullet"/>
        <w:ind w:left="360" w:hanging="360"/>
      </w:pPr>
      <w:r>
        <w:rPr>
          <w:rFonts w:ascii="Calibri" w:hAnsi="Calibri"/>
          <w:b/>
          <w:color w:val="525866"/>
          <w:sz w:val="22"/>
        </w:rPr>
        <w:t xml:space="preserve">PKG: </w:t>
      </w:r>
      <w:r>
        <w:rPr>
          <w:rFonts w:ascii="Calibri" w:hAnsi="Calibri"/>
          <w:color w:val="525866"/>
          <w:sz w:val="22"/>
        </w:rPr>
        <w:t>+11.2% ($205.24 → $228.21). Stock surged ~5% on the Q1 earnings day (Apr 23) as the magnitude of the EPS beat outweighed below-consensus Q2 guidance. The stock then consolidated before re-accelerating in June as the second $50/ton price increase was announced and volume commentary remained strong.</w:t>
      </w:r>
    </w:p>
    <w:p>
      <w:pPr>
        <w:pStyle w:val="ListBullet"/>
        <w:ind w:left="360" w:hanging="360"/>
      </w:pPr>
      <w:r>
        <w:rPr>
          <w:rFonts w:ascii="Calibri" w:hAnsi="Calibri"/>
          <w:b/>
          <w:color w:val="525866"/>
          <w:sz w:val="22"/>
        </w:rPr>
        <w:t xml:space="preserve">IP (International Paper): </w:t>
      </w:r>
      <w:r>
        <w:rPr>
          <w:rFonts w:ascii="Calibri" w:hAnsi="Calibri"/>
          <w:color w:val="525866"/>
          <w:sz w:val="22"/>
        </w:rPr>
        <w:t>+9.1% ($36.89 → $36.35 as of Jul 21, noting IP closed at $33.33 on Apr 22 earnings day). IP rallied alongside PKG on the broader containerboard pricing narrative but has underperformed given its own Q2 guidance miss and EMEA margin compression headwinds.</w:t>
      </w:r>
    </w:p>
    <w:p>
      <w:pPr>
        <w:pStyle w:val="ListBullet"/>
        <w:ind w:left="360" w:hanging="360"/>
      </w:pPr>
      <w:r>
        <w:rPr>
          <w:rFonts w:ascii="Calibri" w:hAnsi="Calibri"/>
          <w:b/>
          <w:color w:val="525866"/>
          <w:sz w:val="22"/>
        </w:rPr>
        <w:t xml:space="preserve">SW (Smurfit WestRock): </w:t>
      </w:r>
      <w:r>
        <w:rPr>
          <w:rFonts w:ascii="Calibri" w:hAnsi="Calibri"/>
          <w:color w:val="525866"/>
          <w:sz w:val="22"/>
        </w:rPr>
        <w:t>+8.5% ($42.70 → $43.06). SW has tracked the sector recovery but lagged PKG, reflecting its more complex global footprint and integration execution uncertainty.</w:t>
      </w:r>
    </w:p>
    <w:p>
      <w:pPr>
        <w:pStyle w:val="ListBullet"/>
        <w:ind w:left="360" w:hanging="360"/>
      </w:pPr>
      <w:r>
        <w:rPr>
          <w:rFonts w:ascii="Calibri" w:hAnsi="Calibri"/>
          <w:b/>
          <w:color w:val="525866"/>
          <w:sz w:val="22"/>
        </w:rPr>
        <w:t xml:space="preserve">Key Event — Wells Fargo Conference (Jun 10, 2026): </w:t>
      </w:r>
      <w:r>
        <w:rPr>
          <w:rFonts w:ascii="Calibri" w:hAnsi="Calibri"/>
          <w:color w:val="525866"/>
          <w:sz w:val="22"/>
        </w:rPr>
        <w:t>CEO Mark Kowlzan presented at the Wells Fargo 16th Annual Industrials &amp; Materials Conference. The event reinforced the constructive demand and pricing narrative (strong volumes, price increases, Greif integration progress, energy independence investments) and coincided with a period of stock strength in mid-June.</w:t>
      </w:r>
    </w:p>
    <w:p>
      <w:pPr>
        <w:pStyle w:val="ListBullet"/>
        <w:ind w:left="360" w:hanging="360"/>
      </w:pPr>
      <w:r>
        <w:rPr>
          <w:rFonts w:ascii="Calibri" w:hAnsi="Calibri"/>
          <w:b/>
          <w:color w:val="525866"/>
          <w:sz w:val="22"/>
        </w:rPr>
        <w:t xml:space="preserve">Sector ETF Note: </w:t>
      </w:r>
      <w:r>
        <w:rPr>
          <w:rFonts w:ascii="Calibri" w:hAnsi="Calibri"/>
          <w:color w:val="525866"/>
          <w:sz w:val="22"/>
        </w:rPr>
        <w:t>IP and SW used as primary containerboard/corrugated peers given direct business overlap. Both are the most relevant read-throughs for PKG's core corrugated packaging business.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announcement of a second $50/ton containerboard price increase effective June 1</w:t>
      </w:r>
      <w:r>
        <w:rPr>
          <w:rFonts w:ascii="Calibri" w:hAnsi="Calibri"/>
          <w:color w:val="525866"/>
          <w:sz w:val="22"/>
        </w:rPr>
        <w:t>, which — combined with the first increase — sets up Q3 as a transformational earnings quarter; freight cost escalation driven by the Middle East conflict is the primary near-term risk.</w:t>
      </w:r>
    </w:p>
    <w:p>
      <w:pPr>
        <w:pStyle w:val="ListBullet"/>
        <w:ind w:left="360" w:hanging="360"/>
      </w:pPr>
      <w:r>
        <w:rPr>
          <w:rFonts w:ascii="Calibri" w:hAnsi="Calibri"/>
          <w:b/>
          <w:color w:val="525866"/>
          <w:sz w:val="22"/>
        </w:rPr>
        <w:t xml:space="preserve">Apr 22, 2026 — Q1 2026 Earnings Beat / Q2 Guidance Miss: </w:t>
      </w:r>
      <w:r>
        <w:rPr>
          <w:rFonts w:ascii="Calibri" w:hAnsi="Calibri"/>
          <w:color w:val="525866"/>
          <w:sz w:val="22"/>
        </w:rPr>
        <w:t xml:space="preserve">PKG reported Q1 EPS of $2.40 vs. consensus of $2.13 (+12.7% beat). Q2 guidance came in well below Street consensus, driven by the heaviest maintenance outage quarter of the year, elevated freight costs, and recycled fiber cost escalation. Management confirmed the first $50/ton price increase benefit would be substantially recognized in Q3. Stock rose ~5% on the day. </w:t>
      </w:r>
      <w:r>
        <w:rPr>
          <w:rFonts w:ascii="Calibri" w:hAnsi="Calibri"/>
          <w:i/>
          <w:color w:val="525866"/>
          <w:sz w:val="22"/>
        </w:rPr>
        <w:t>Implication: Sets a low Q2 bar; market focus shifts to Q3 inflection.</w:t>
      </w:r>
    </w:p>
    <w:p>
      <w:pPr>
        <w:pStyle w:val="ListBullet"/>
        <w:ind w:left="360" w:hanging="360"/>
      </w:pPr>
      <w:r>
        <w:rPr>
          <w:rFonts w:ascii="Calibri" w:hAnsi="Calibri"/>
          <w:b/>
          <w:color w:val="525866"/>
          <w:sz w:val="22"/>
        </w:rPr>
        <w:t xml:space="preserve">Apr 22, 2026 — ~20% Quarterly Dividend Increase: </w:t>
      </w:r>
      <w:r>
        <w:rPr>
          <w:rFonts w:ascii="Calibri" w:hAnsi="Calibri"/>
          <w:color w:val="525866"/>
          <w:sz w:val="22"/>
        </w:rPr>
        <w:t xml:space="preserve">PKG raised its quarterly dividend by approximately 20%, signaling management confidence in FCF generation and capital return capacity. </w:t>
      </w:r>
      <w:r>
        <w:rPr>
          <w:rFonts w:ascii="Calibri" w:hAnsi="Calibri"/>
          <w:i/>
          <w:color w:val="525866"/>
          <w:sz w:val="22"/>
        </w:rPr>
        <w:t>Implication: Positive signal on balance sheet health and earnings visibility.</w:t>
      </w:r>
    </w:p>
    <w:p>
      <w:pPr>
        <w:pStyle w:val="ListBullet"/>
        <w:ind w:left="360" w:hanging="360"/>
      </w:pPr>
      <w:r>
        <w:rPr>
          <w:rFonts w:ascii="Calibri" w:hAnsi="Calibri"/>
          <w:b/>
          <w:color w:val="525866"/>
          <w:sz w:val="22"/>
        </w:rPr>
        <w:t xml:space="preserve">Apr 22, 2026 — Second $50/ton Containerboard Price Increase Announced (Jun 1 Effective): </w:t>
      </w:r>
      <w:r>
        <w:rPr>
          <w:rFonts w:ascii="Calibri" w:hAnsi="Calibri"/>
          <w:color w:val="525866"/>
          <w:sz w:val="22"/>
        </w:rPr>
        <w:t xml:space="preserve">Management announced a second $50/ton containerboard price increase effective June 1, 2026, following the first $50/ton increase (March effective). Both increases are expected to be substantially recognized in Q3. Management described containerboard open market supply as 'very hard to find' and confirmed mills are running full out throughout 2026. </w:t>
      </w:r>
      <w:r>
        <w:rPr>
          <w:rFonts w:ascii="Calibri" w:hAnsi="Calibri"/>
          <w:i/>
          <w:color w:val="525866"/>
          <w:sz w:val="22"/>
        </w:rPr>
        <w:t>Implication: Most important earnings catalyst for the back half; Q3 EPS inflection is the key investment thesis.</w:t>
      </w:r>
    </w:p>
    <w:p>
      <w:pPr>
        <w:pStyle w:val="ListBullet"/>
        <w:ind w:left="360" w:hanging="360"/>
      </w:pPr>
      <w:r>
        <w:rPr>
          <w:rFonts w:ascii="Calibri" w:hAnsi="Calibri"/>
          <w:b/>
          <w:color w:val="525866"/>
          <w:sz w:val="22"/>
        </w:rPr>
        <w:t xml:space="preserve">Apr 22, 2026 — Greif Acquisition Integration Update: </w:t>
      </w:r>
      <w:r>
        <w:rPr>
          <w:rFonts w:ascii="Calibri" w:hAnsi="Calibri"/>
          <w:color w:val="525866"/>
          <w:sz w:val="22"/>
        </w:rPr>
        <w:t xml:space="preserve">Management reported the acquired Greif mills (including Riverville, Massillon, Jacksonville, DeRidder) are running at high uptime and efficiency. Riverville producing at meaningfully higher rate than at acquisition. Synergy run rate tracking toward ~50% of total target by year-end. Massillon achieved its best production month in operating history in May. </w:t>
      </w:r>
      <w:r>
        <w:rPr>
          <w:rFonts w:ascii="Calibri" w:hAnsi="Calibri"/>
          <w:i/>
          <w:color w:val="525866"/>
          <w:sz w:val="22"/>
        </w:rPr>
        <w:t>Implication: Integration execution de-risks the acquisition thesis; synergy ramp is a multi-year EPS tailwind.</w:t>
      </w:r>
    </w:p>
    <w:p>
      <w:pPr>
        <w:pStyle w:val="ListBullet"/>
        <w:ind w:left="360" w:hanging="360"/>
      </w:pPr>
      <w:r>
        <w:rPr>
          <w:rFonts w:ascii="Calibri" w:hAnsi="Calibri"/>
          <w:b/>
          <w:color w:val="525866"/>
          <w:sz w:val="22"/>
        </w:rPr>
        <w:t xml:space="preserve">Apr 22, 2026 — Wallula Mill Reconfiguration Completed (Early April): </w:t>
      </w:r>
      <w:r>
        <w:rPr>
          <w:rFonts w:ascii="Calibri" w:hAnsi="Calibri"/>
          <w:color w:val="525866"/>
          <w:sz w:val="22"/>
        </w:rPr>
        <w:t xml:space="preserve">The Wallula mill reconfiguration was completed in early April, adding to the combined system's capacity and operational efficiency. </w:t>
      </w:r>
      <w:r>
        <w:rPr>
          <w:rFonts w:ascii="Calibri" w:hAnsi="Calibri"/>
          <w:i/>
          <w:color w:val="525866"/>
          <w:sz w:val="22"/>
        </w:rPr>
        <w:t>Implication: Removes a near-term operational overhang.</w:t>
      </w:r>
    </w:p>
    <w:p>
      <w:pPr>
        <w:pStyle w:val="ListBullet"/>
        <w:ind w:left="360" w:hanging="360"/>
      </w:pPr>
      <w:r>
        <w:rPr>
          <w:rFonts w:ascii="Calibri" w:hAnsi="Calibri"/>
          <w:b/>
          <w:color w:val="525866"/>
          <w:sz w:val="22"/>
        </w:rPr>
        <w:t xml:space="preserve">May 26, 2026 — Nippon Dynawave Mill Incident (Pacific Northwest): </w:t>
      </w:r>
      <w:r>
        <w:rPr>
          <w:rFonts w:ascii="Calibri" w:hAnsi="Calibri"/>
          <w:color w:val="525866"/>
          <w:sz w:val="22"/>
        </w:rPr>
        <w:t xml:space="preserve">A significant incident occurred at the Nippon Dynawave mill in the Pacific Northwest. Management confirmed at the Q1 call that no observable change in PKG's order book resulted. </w:t>
      </w:r>
      <w:r>
        <w:rPr>
          <w:rFonts w:ascii="Calibri" w:hAnsi="Calibri"/>
          <w:i/>
          <w:color w:val="525866"/>
          <w:sz w:val="22"/>
        </w:rPr>
        <w:t>Implication: Potential tightening of containerboard supply in the Pacific Northwest; modest positive for PKG pricing power.</w:t>
      </w:r>
    </w:p>
    <w:p>
      <w:pPr>
        <w:pStyle w:val="ListBullet"/>
        <w:ind w:left="360" w:hanging="360"/>
      </w:pPr>
      <w:r>
        <w:rPr>
          <w:rFonts w:ascii="Calibri" w:hAnsi="Calibri"/>
          <w:b/>
          <w:color w:val="525866"/>
          <w:sz w:val="22"/>
        </w:rPr>
        <w:t xml:space="preserve">May 13, 2026 — Annual Meeting: All Proposals Approved: </w:t>
      </w:r>
      <w:r>
        <w:rPr>
          <w:rFonts w:ascii="Calibri" w:hAnsi="Calibri"/>
          <w:color w:val="525866"/>
          <w:sz w:val="22"/>
        </w:rPr>
        <w:t xml:space="preserve">PKG shareholders approved all proposals at the annual meeting, including board elections and executive compensation. No governance surprises. </w:t>
      </w:r>
      <w:r>
        <w:rPr>
          <w:rFonts w:ascii="Calibri" w:hAnsi="Calibri"/>
          <w:i/>
          <w:color w:val="525866"/>
          <w:sz w:val="22"/>
        </w:rPr>
        <w:t>Implication: Routine; no material impact.</w:t>
      </w:r>
    </w:p>
    <w:p>
      <w:pPr>
        <w:pStyle w:val="ListBullet"/>
        <w:ind w:left="360" w:hanging="360"/>
      </w:pPr>
      <w:r>
        <w:rPr>
          <w:rFonts w:ascii="Calibri" w:hAnsi="Calibri"/>
          <w:b/>
          <w:color w:val="525866"/>
          <w:sz w:val="22"/>
        </w:rPr>
        <w:t xml:space="preserve">Jun 1, 2026 — CEO to Speak at Wells Fargo 16th Annual Industrials &amp; Materials Conference (Jun 10): </w:t>
      </w:r>
      <w:r>
        <w:rPr>
          <w:rFonts w:ascii="Calibri" w:hAnsi="Calibri"/>
          <w:color w:val="525866"/>
          <w:sz w:val="22"/>
        </w:rPr>
        <w:t xml:space="preserve">CEO Mark Kowlzan and CFO Kent Pflederer presented at the Wells Fargo conference in Chicago. Commentary reinforced strong volumes, price increases, Greif integration progress, and energy independence investments (three gas turbines being installed at Riverville, Jacksonville, and DeRidder mills). No formal guidance revision. </w:t>
      </w:r>
      <w:r>
        <w:rPr>
          <w:rFonts w:ascii="Calibri" w:hAnsi="Calibri"/>
          <w:i/>
          <w:color w:val="525866"/>
          <w:sz w:val="22"/>
        </w:rPr>
        <w:t>Implication: Constructive demand and pricing tone maintained; no negative pre-announcement.</w:t>
      </w:r>
    </w:p>
    <w:p>
      <w:pPr>
        <w:pStyle w:val="ListBullet"/>
        <w:ind w:left="360" w:hanging="360"/>
      </w:pPr>
      <w:r>
        <w:rPr>
          <w:rFonts w:ascii="Calibri" w:hAnsi="Calibri"/>
          <w:b/>
          <w:color w:val="525866"/>
          <w:sz w:val="22"/>
        </w:rPr>
        <w:t xml:space="preserve">Ongoing — Energy Independence Initiative: </w:t>
      </w:r>
      <w:r>
        <w:rPr>
          <w:rFonts w:ascii="Calibri" w:hAnsi="Calibri"/>
          <w:color w:val="525866"/>
          <w:sz w:val="22"/>
        </w:rPr>
        <w:t xml:space="preserve">Three ~50MW gas turbines acquired opportunistically from a shuttered mill are being installed at Riverville (VA), Jacksonville (AL), and DeRidder (LA) mills, bringing four of ten mills to full electricity independence. Expected to reduce energy costs and grid exposure over the next ~18 months. </w:t>
      </w:r>
      <w:r>
        <w:rPr>
          <w:rFonts w:ascii="Calibri" w:hAnsi="Calibri"/>
          <w:i/>
          <w:color w:val="525866"/>
          <w:sz w:val="22"/>
        </w:rPr>
        <w:t>Implication: Long-term structural cost reduction; reduces exposure to energy price volatility.</w:t>
      </w:r>
    </w:p>
    <w:p>
      <w:pPr>
        <w:pStyle w:val="ListBullet"/>
        <w:ind w:left="360" w:hanging="360"/>
      </w:pPr>
      <w:r>
        <w:rPr>
          <w:rFonts w:ascii="Calibri" w:hAnsi="Calibri"/>
          <w:b/>
          <w:color w:val="525866"/>
          <w:sz w:val="22"/>
        </w:rPr>
        <w:t xml:space="preserve">Ongoing — Middle East Conflict / Freight Cost Escalation: </w:t>
      </w:r>
      <w:r>
        <w:rPr>
          <w:rFonts w:ascii="Calibri" w:hAnsi="Calibri"/>
          <w:color w:val="525866"/>
          <w:sz w:val="22"/>
        </w:rPr>
        <w:t xml:space="preserve">The Middle East conflict has driven higher diesel costs, ocean freight rates, and supply chain disruption across the packaging sector. PKG flagged freight as running meaningfully unfavorable to Q2 guidance with no relief expected in June. Peers IP, SW, GPK, and SON all cited freight as a significant Q2 headwind. </w:t>
      </w:r>
      <w:r>
        <w:rPr>
          <w:rFonts w:ascii="Calibri" w:hAnsi="Calibri"/>
          <w:i/>
          <w:color w:val="525866"/>
          <w:sz w:val="22"/>
        </w:rPr>
        <w:t>Implication: Primary Q2 earnings risk; trajectory into Q3 is the critical watch item.</w:t>
      </w:r>
    </w:p>
    <w:p>
      <w:r>
        <w:br w:type="page"/>
      </w:r>
    </w:p>
    <w:p>
      <w:pPr>
        <w:pStyle w:val="Heading2"/>
      </w:pPr>
      <w:r>
        <w:rPr>
          <w:rFonts w:ascii="Calibri" w:hAnsi="Calibri"/>
          <w:b/>
          <w:color w:val="3B4259"/>
          <w:sz w:val="28"/>
        </w:rPr>
        <w:t>7. Peer Commentaries — Read-Throughs (Last 60 Days, Q2 2026 Relevant)</w:t>
      </w:r>
    </w:p>
    <w:p>
      <w:r>
        <w:rPr>
          <w:rFonts w:ascii="Calibri" w:hAnsi="Calibri"/>
          <w:b/>
          <w:color w:val="525866"/>
          <w:sz w:val="22"/>
        </w:rPr>
        <w:t xml:space="preserve">Key Takeaway: </w:t>
      </w:r>
      <w:r>
        <w:rPr>
          <w:rFonts w:ascii="Calibri" w:hAnsi="Calibri"/>
          <w:color w:val="525866"/>
          <w:sz w:val="22"/>
        </w:rPr>
        <w:t xml:space="preserve">Peer commentary from Q1 2026 earnings calls (April–May 2026) and CCK's Q2 2026 earnings (July 21, 2026) collectively paint a </w:t>
      </w:r>
      <w:r>
        <w:rPr>
          <w:rFonts w:ascii="Calibri" w:hAnsi="Calibri"/>
          <w:b/>
          <w:color w:val="525866"/>
          <w:sz w:val="22"/>
        </w:rPr>
        <w:t>constructive picture for PKG's Q2 and especially Q3</w:t>
      </w:r>
      <w:r>
        <w:rPr>
          <w:rFonts w:ascii="Calibri" w:hAnsi="Calibri"/>
          <w:color w:val="525866"/>
          <w:sz w:val="22"/>
        </w:rPr>
        <w:t>: demand is recovering, containerboard supply is tight, two rounds of price increases are flowing through, and freight/energy costs are the shared headwind that all players expect to recover in the back half. The read-throughs are broadly positive for PKG's Q3 inflection thesis.</w:t>
      </w:r>
    </w:p>
    <w:p>
      <w:r>
        <w:rPr>
          <w:rFonts w:ascii="Calibri" w:hAnsi="Calibri"/>
          <w:i/>
          <w:color w:val="525866"/>
          <w:sz w:val="22"/>
        </w:rPr>
        <w:t>Note: Only commentary from Q1 2026 earnings calls (reporting on Q1 2026 results and providing Q2/H2 2026 outlook) and CCK's Q2 2026 earnings (July 21, 2026) are included below, as these are the relevant read-throughs for PKG's current reporting quarter (Q2 2026). Prior-quarter results commentary has been excluded.</w:t>
      </w:r>
    </w:p>
    <w:p>
      <w:pPr>
        <w:pStyle w:val="Heading3"/>
      </w:pPr>
      <w:r>
        <w:rPr>
          <w:rFonts w:ascii="Calibri" w:hAnsi="Calibri"/>
          <w:b/>
          <w:color w:val="3B4259"/>
          <w:sz w:val="24"/>
        </w:rPr>
        <w:t>Smurfit WestRock (SW) — Q1 2026 Earnings Call (April 30, 2026)</w:t>
      </w:r>
    </w:p>
    <w:p>
      <w:r>
        <w:rPr>
          <w:rFonts w:ascii="Calibri" w:hAnsi="Calibri"/>
          <w:b/>
          <w:color w:val="525866"/>
          <w:sz w:val="22"/>
        </w:rPr>
        <w:t xml:space="preserve">Relevance to PKG: </w:t>
      </w:r>
      <w:r>
        <w:rPr>
          <w:rFonts w:ascii="Calibri" w:hAnsi="Calibri"/>
          <w:color w:val="525866"/>
          <w:sz w:val="22"/>
        </w:rPr>
        <w:t>SW is the largest global containerboard/corrugated peer and the most direct read-through for North American corrugated demand, pricing, and cost dynamics.</w:t>
      </w:r>
    </w:p>
    <w:p>
      <w:pPr>
        <w:pStyle w:val="ListBullet"/>
        <w:ind w:left="360" w:hanging="360"/>
      </w:pPr>
      <w:r>
        <w:rPr>
          <w:rFonts w:ascii="Calibri" w:hAnsi="Calibri"/>
          <w:b/>
          <w:color w:val="525866"/>
          <w:sz w:val="22"/>
        </w:rPr>
        <w:t xml:space="preserve">Demand inflection in Q2: </w:t>
      </w:r>
      <w:r>
        <w:rPr>
          <w:rFonts w:ascii="Calibri" w:hAnsi="Calibri"/>
          <w:color w:val="525866"/>
          <w:sz w:val="22"/>
        </w:rPr>
        <w:t xml:space="preserve">SW described Q1 North American demand as 'generally tepid as consumer confidence remained muted,' but noted a sharp inflection entering Q2: 'As we begin the second quarter, we are seeing much improved demand with strengthening order books across all grades.' New customer volume in April was '30% up on March's number in volume terms.' </w:t>
      </w:r>
      <w:r>
        <w:rPr>
          <w:rFonts w:ascii="Calibri" w:hAnsi="Calibri"/>
          <w:i/>
          <w:color w:val="525866"/>
          <w:sz w:val="22"/>
        </w:rPr>
        <w:t>PKG read-through: Strongly positive — corroborates PKG's own commentary that April/May legacy corrugated shipments per day were running well ahead of prior year.</w:t>
      </w:r>
    </w:p>
    <w:p>
      <w:pPr>
        <w:pStyle w:val="ListBullet"/>
        <w:ind w:left="360" w:hanging="360"/>
      </w:pPr>
      <w:r>
        <w:rPr>
          <w:rFonts w:ascii="Calibri" w:hAnsi="Calibri"/>
          <w:b/>
          <w:color w:val="525866"/>
          <w:sz w:val="22"/>
        </w:rPr>
        <w:t xml:space="preserve">Supply sold out across all grades: </w:t>
      </w:r>
      <w:r>
        <w:rPr>
          <w:rFonts w:ascii="Calibri" w:hAnsi="Calibri"/>
          <w:color w:val="525866"/>
          <w:sz w:val="22"/>
        </w:rPr>
        <w:t xml:space="preserve">CEO Anthony Smurfit stated: 'We have seen a very strong uptake across really all paper grades... basically, all paper grades are in effectively sold out position right now.' This change 'happened really quickly,' strengthening in March and becoming 'very strong indeed across everywhere' in April. </w:t>
      </w:r>
      <w:r>
        <w:rPr>
          <w:rFonts w:ascii="Calibri" w:hAnsi="Calibri"/>
          <w:i/>
          <w:color w:val="525866"/>
          <w:sz w:val="22"/>
        </w:rPr>
        <w:t>PKG read-through: Directly validates PKG's 'no excess board for open market' commentary and supports the pricing power narrative for both the first and second $50/ton increases.</w:t>
      </w:r>
    </w:p>
    <w:p>
      <w:pPr>
        <w:pStyle w:val="ListBullet"/>
        <w:ind w:left="360" w:hanging="360"/>
      </w:pPr>
      <w:r>
        <w:rPr>
          <w:rFonts w:ascii="Calibri" w:hAnsi="Calibri"/>
          <w:b/>
          <w:color w:val="525866"/>
          <w:sz w:val="22"/>
        </w:rPr>
        <w:t xml:space="preserve">Price increase implementation: </w:t>
      </w:r>
      <w:r>
        <w:rPr>
          <w:rFonts w:ascii="Calibri" w:hAnsi="Calibri"/>
          <w:color w:val="525866"/>
          <w:sz w:val="22"/>
        </w:rPr>
        <w:t xml:space="preserve">SW confirmed the first $50/ton increase 'should fully see it implemented by July 1.' The second $50/ton increase, if successful, is expected to be 'fully implemented by September.' </w:t>
      </w:r>
      <w:r>
        <w:rPr>
          <w:rFonts w:ascii="Calibri" w:hAnsi="Calibri"/>
          <w:i/>
          <w:color w:val="525866"/>
          <w:sz w:val="22"/>
        </w:rPr>
        <w:t>PKG read-through: Consistent with PKG's own timeline; both increases substantially recognized in Q3 is the shared industry expectation.</w:t>
      </w:r>
    </w:p>
    <w:p>
      <w:pPr>
        <w:pStyle w:val="ListBullet"/>
        <w:ind w:left="360" w:hanging="360"/>
      </w:pPr>
      <w:r>
        <w:rPr>
          <w:rFonts w:ascii="Calibri" w:hAnsi="Calibri"/>
          <w:b/>
          <w:color w:val="525866"/>
          <w:sz w:val="22"/>
        </w:rPr>
        <w:t xml:space="preserve">Freight headwind: </w:t>
      </w:r>
      <w:r>
        <w:rPr>
          <w:rFonts w:ascii="Calibri" w:hAnsi="Calibri"/>
          <w:color w:val="525866"/>
          <w:sz w:val="22"/>
        </w:rPr>
        <w:t xml:space="preserve">SW quantified freight as 'probably a $50 million headwind as we get through the year based on where we sit now.' Recovered fiber expected to be 'definitely higher for the group in the second quarter, probably around $20-odd million.' </w:t>
      </w:r>
      <w:r>
        <w:rPr>
          <w:rFonts w:ascii="Calibri" w:hAnsi="Calibri"/>
          <w:i/>
          <w:color w:val="525866"/>
          <w:sz w:val="22"/>
        </w:rPr>
        <w:t>PKG read-through: Confirms freight is a sector-wide Q2 headwind, not PKG-specific; validates the cost pressure narrative.</w:t>
      </w:r>
    </w:p>
    <w:p>
      <w:pPr>
        <w:pStyle w:val="ListBullet"/>
        <w:ind w:left="360" w:hanging="360"/>
      </w:pPr>
      <w:r>
        <w:rPr>
          <w:rFonts w:ascii="Calibri" w:hAnsi="Calibri"/>
          <w:b/>
          <w:color w:val="525866"/>
          <w:sz w:val="22"/>
        </w:rPr>
        <w:t xml:space="preserve">Customer inventory levels: </w:t>
      </w:r>
      <w:r>
        <w:rPr>
          <w:rFonts w:ascii="Calibri" w:hAnsi="Calibri"/>
          <w:color w:val="525866"/>
          <w:sz w:val="22"/>
        </w:rPr>
        <w:t xml:space="preserve">Management noted 'people have been keeping their stocks low' and that 'shelves do need to be refilled at some point.' Security of supply is 'coming back on the table' as a key customer value. </w:t>
      </w:r>
      <w:r>
        <w:rPr>
          <w:rFonts w:ascii="Calibri" w:hAnsi="Calibri"/>
          <w:i/>
          <w:color w:val="525866"/>
          <w:sz w:val="22"/>
        </w:rPr>
        <w:t>PKG read-through: Consistent with PKG's observation of lean customer inventories and no pre-buy activity; supports the view that demand is structural rather than pull-forward.</w:t>
      </w:r>
    </w:p>
    <w:p>
      <w:pPr>
        <w:pStyle w:val="ListBullet"/>
        <w:ind w:left="360" w:hanging="360"/>
      </w:pPr>
      <w:r>
        <w:rPr>
          <w:rFonts w:ascii="Calibri" w:hAnsi="Calibri"/>
          <w:b/>
          <w:color w:val="525866"/>
          <w:sz w:val="22"/>
        </w:rPr>
        <w:t xml:space="preserve">H2 2026 optimism: </w:t>
      </w:r>
      <w:r>
        <w:rPr>
          <w:rFonts w:ascii="Calibri" w:hAnsi="Calibri"/>
          <w:color w:val="525866"/>
          <w:sz w:val="22"/>
        </w:rPr>
        <w:t xml:space="preserve">SW expressed 'a lot more optimism than we've seen for a long period of time,' describing their view as 'cautiously optimistic.' Full-year 2026 adjusted EBITDA guidance of $5.0–$5.3B reaffirmed. </w:t>
      </w:r>
      <w:r>
        <w:rPr>
          <w:rFonts w:ascii="Calibri" w:hAnsi="Calibri"/>
          <w:i/>
          <w:color w:val="525866"/>
          <w:sz w:val="22"/>
        </w:rPr>
        <w:t>PKG read-through: Positive sector sentiment; supports PKG's Q3 inflection thesis.</w:t>
      </w:r>
    </w:p>
    <w:p>
      <w:pPr>
        <w:pStyle w:val="Heading3"/>
      </w:pPr>
      <w:r>
        <w:rPr>
          <w:rFonts w:ascii="Calibri" w:hAnsi="Calibri"/>
          <w:b/>
          <w:color w:val="3B4259"/>
          <w:sz w:val="24"/>
        </w:rPr>
        <w:t>International Paper (IP) — Q1 2026 Earnings Call (April 30, 2026)</w:t>
      </w:r>
    </w:p>
    <w:p>
      <w:r>
        <w:rPr>
          <w:rFonts w:ascii="Calibri" w:hAnsi="Calibri"/>
          <w:b/>
          <w:color w:val="525866"/>
          <w:sz w:val="22"/>
        </w:rPr>
        <w:t xml:space="preserve">Relevance to PKG: </w:t>
      </w:r>
      <w:r>
        <w:rPr>
          <w:rFonts w:ascii="Calibri" w:hAnsi="Calibri"/>
          <w:color w:val="525866"/>
          <w:sz w:val="22"/>
        </w:rPr>
        <w:t>IP is the largest North American containerboard/corrugated producer and the most direct domestic peer. IP's volume, pricing, and cost commentary is the highest-quality read-through for PKG's core business.</w:t>
      </w:r>
    </w:p>
    <w:p>
      <w:pPr>
        <w:pStyle w:val="ListBullet"/>
        <w:ind w:left="360" w:hanging="360"/>
      </w:pPr>
      <w:r>
        <w:rPr>
          <w:rFonts w:ascii="Calibri" w:hAnsi="Calibri"/>
          <w:b/>
          <w:color w:val="525866"/>
          <w:sz w:val="22"/>
        </w:rPr>
        <w:t xml:space="preserve">North American volume outperformance: </w:t>
      </w:r>
      <w:r>
        <w:rPr>
          <w:rFonts w:ascii="Calibri" w:hAnsi="Calibri"/>
          <w:color w:val="525866"/>
          <w:sz w:val="22"/>
        </w:rPr>
        <w:t xml:space="preserve">IP's North American box volumes increased 2.5% YoY on a per-day basis in Q1 2026, while the overall industry declined 0.3% — a ~3% outperformance. For Q2, IP expects its North American volumes to be up ~3% with the industry tracking flat. Full-year 2026 industry demand outlook revised to approximately flat YoY (from flat to up 1%). </w:t>
      </w:r>
      <w:r>
        <w:rPr>
          <w:rFonts w:ascii="Calibri" w:hAnsi="Calibri"/>
          <w:i/>
          <w:color w:val="525866"/>
          <w:sz w:val="22"/>
        </w:rPr>
        <w:t>PKG read-through: Industry demand is softer than initially expected but PKG has consistently outperformed the industry; the flat industry backdrop is manageable given PKG's volume track record.</w:t>
      </w:r>
    </w:p>
    <w:p>
      <w:pPr>
        <w:pStyle w:val="ListBullet"/>
        <w:ind w:left="360" w:hanging="360"/>
      </w:pPr>
      <w:r>
        <w:rPr>
          <w:rFonts w:ascii="Calibri" w:hAnsi="Calibri"/>
          <w:b/>
          <w:color w:val="525866"/>
          <w:sz w:val="22"/>
        </w:rPr>
        <w:t xml:space="preserve">Paper market 'very tight': </w:t>
      </w:r>
      <w:r>
        <w:rPr>
          <w:rFonts w:ascii="Calibri" w:hAnsi="Calibri"/>
          <w:color w:val="525866"/>
          <w:sz w:val="22"/>
        </w:rPr>
        <w:t xml:space="preserve">IP described the U.S. paper market as 'very tight.' Published price increases of $40/ton (March) and $30/ton (April) will benefit results beginning in Q3 due to normal price realization lags. </w:t>
      </w:r>
      <w:r>
        <w:rPr>
          <w:rFonts w:ascii="Calibri" w:hAnsi="Calibri"/>
          <w:i/>
          <w:color w:val="525866"/>
          <w:sz w:val="22"/>
        </w:rPr>
        <w:t>PKG read-through: Tight supply/demand directly supports PKG's two $50/ton increases flowing through in Q3.</w:t>
      </w:r>
    </w:p>
    <w:p>
      <w:pPr>
        <w:pStyle w:val="ListBullet"/>
        <w:ind w:left="360" w:hanging="360"/>
      </w:pPr>
      <w:r>
        <w:rPr>
          <w:rFonts w:ascii="Calibri" w:hAnsi="Calibri"/>
          <w:b/>
          <w:color w:val="525866"/>
          <w:sz w:val="22"/>
        </w:rPr>
        <w:t xml:space="preserve">Freight and OCC headwinds: </w:t>
      </w:r>
      <w:r>
        <w:rPr>
          <w:rFonts w:ascii="Calibri" w:hAnsi="Calibri"/>
          <w:color w:val="525866"/>
          <w:sz w:val="22"/>
        </w:rPr>
        <w:t xml:space="preserve">IP described freight as 'a significant near-term impact' with 'sharply higher and volatile diesel prices putting pressure on costs across the supply chain' combined with 'an exceptionally tight freight market.' Higher diesel prices are also flowing through to OCC and chemicals. </w:t>
      </w:r>
      <w:r>
        <w:rPr>
          <w:rFonts w:ascii="Calibri" w:hAnsi="Calibri"/>
          <w:i/>
          <w:color w:val="525866"/>
          <w:sz w:val="22"/>
        </w:rPr>
        <w:t>PKG read-through: Confirms the freight/fiber cost headwind is sector-wide and validates PKG's Q2 cost guidance.</w:t>
      </w:r>
    </w:p>
    <w:p>
      <w:pPr>
        <w:pStyle w:val="ListBullet"/>
        <w:ind w:left="360" w:hanging="360"/>
      </w:pPr>
      <w:r>
        <w:rPr>
          <w:rFonts w:ascii="Calibri" w:hAnsi="Calibri"/>
          <w:b/>
          <w:color w:val="525866"/>
          <w:sz w:val="22"/>
        </w:rPr>
        <w:t xml:space="preserve">H2 2026 step-up of $650M in EBITDA: </w:t>
      </w:r>
      <w:r>
        <w:rPr>
          <w:rFonts w:ascii="Calibri" w:hAnsi="Calibri"/>
          <w:color w:val="525866"/>
          <w:sz w:val="22"/>
        </w:rPr>
        <w:t xml:space="preserve">IP guided to a $650M step-up in adjusted EBITDA from H1 to H2, driven by $300M from pricing/volume/mix/seasonality, $150M from 80/20 cost-out initiatives, $150M from maintenance outage roll-off, and $100M from Riverdale conversion non-repeat. </w:t>
      </w:r>
      <w:r>
        <w:rPr>
          <w:rFonts w:ascii="Calibri" w:hAnsi="Calibri"/>
          <w:i/>
          <w:color w:val="525866"/>
          <w:sz w:val="22"/>
        </w:rPr>
        <w:t>PKG read-through: The magnitude of IP's H2 step-up validates the sector-wide Q3 inflection thesis; PKG's own H2 ramp (two price increases + outage roll-off) follows the same logic.</w:t>
      </w:r>
    </w:p>
    <w:p>
      <w:pPr>
        <w:pStyle w:val="ListBullet"/>
        <w:ind w:left="360" w:hanging="360"/>
      </w:pPr>
      <w:r>
        <w:rPr>
          <w:rFonts w:ascii="Calibri" w:hAnsi="Calibri"/>
          <w:b/>
          <w:color w:val="525866"/>
          <w:sz w:val="22"/>
        </w:rPr>
        <w:t xml:space="preserve">Macro demand softer than expected by ~1 point: </w:t>
      </w:r>
      <w:r>
        <w:rPr>
          <w:rFonts w:ascii="Calibri" w:hAnsi="Calibri"/>
          <w:color w:val="525866"/>
          <w:sz w:val="22"/>
        </w:rPr>
        <w:t xml:space="preserve">IP noted 'overall market demand is softer than we expected coming into the year by about 1 point' in both North America and EMEA, driven by 'a more cautious consumer, particularly as inflation pressures and uncertainty persist.' No abrupt changes in order patterns observed. </w:t>
      </w:r>
      <w:r>
        <w:rPr>
          <w:rFonts w:ascii="Calibri" w:hAnsi="Calibri"/>
          <w:i/>
          <w:color w:val="525866"/>
          <w:sz w:val="22"/>
        </w:rPr>
        <w:t>PKG read-through: Modest negative — suggests the demand environment is not as strong as the most bullish scenarios; however, PKG's domestic-only focus and lean customer inventories provide a buffer.</w:t>
      </w:r>
    </w:p>
    <w:p>
      <w:pPr>
        <w:pStyle w:val="Heading3"/>
      </w:pPr>
      <w:r>
        <w:rPr>
          <w:rFonts w:ascii="Calibri" w:hAnsi="Calibri"/>
          <w:b/>
          <w:color w:val="3B4259"/>
          <w:sz w:val="24"/>
        </w:rPr>
        <w:t>Graphic Packaging (GPK) — Q1 2026 Earnings Call (May 5, 2026)</w:t>
      </w:r>
    </w:p>
    <w:p>
      <w:r>
        <w:rPr>
          <w:rFonts w:ascii="Calibri" w:hAnsi="Calibri"/>
          <w:b/>
          <w:color w:val="525866"/>
          <w:sz w:val="22"/>
        </w:rPr>
        <w:t xml:space="preserve">Relevance to PKG: </w:t>
      </w:r>
      <w:r>
        <w:rPr>
          <w:rFonts w:ascii="Calibri" w:hAnsi="Calibri"/>
          <w:color w:val="525866"/>
          <w:sz w:val="22"/>
        </w:rPr>
        <w:t>GPK is a major paperboard converter with significant recycled and unbleached paperboard exposure. Its commentary on consumer demand, pricing dynamics, and cost inflation is relevant to PKG's end markets and input cost outlook.</w:t>
      </w:r>
    </w:p>
    <w:p>
      <w:pPr>
        <w:pStyle w:val="ListBullet"/>
        <w:ind w:left="360" w:hanging="360"/>
      </w:pPr>
      <w:r>
        <w:rPr>
          <w:rFonts w:ascii="Calibri" w:hAnsi="Calibri"/>
          <w:b/>
          <w:color w:val="525866"/>
          <w:sz w:val="22"/>
        </w:rPr>
        <w:t xml:space="preserve">Consumer demand: value-seeking but resilient: </w:t>
      </w:r>
      <w:r>
        <w:rPr>
          <w:rFonts w:ascii="Calibri" w:hAnsi="Calibri"/>
          <w:color w:val="525866"/>
          <w:sz w:val="22"/>
        </w:rPr>
        <w:t xml:space="preserve">GPK described 'a more selective and value-conscious consumer' with '47% of global shoppers now considered value seekers.' Food and health &amp; beauty were 'bright spots' with higher packaging volumes. Volumes were up 1% YoY with performance improving as the quarter progressed. </w:t>
      </w:r>
      <w:r>
        <w:rPr>
          <w:rFonts w:ascii="Calibri" w:hAnsi="Calibri"/>
          <w:i/>
          <w:color w:val="525866"/>
          <w:sz w:val="22"/>
        </w:rPr>
        <w:t>PKG read-through: Consumer staples demand is holding up; the shift to value/private label is a modest positive for corrugated packaging volumes (more SKUs, more packaging).</w:t>
      </w:r>
    </w:p>
    <w:p>
      <w:pPr>
        <w:pStyle w:val="ListBullet"/>
        <w:ind w:left="360" w:hanging="360"/>
      </w:pPr>
      <w:r>
        <w:rPr>
          <w:rFonts w:ascii="Calibri" w:hAnsi="Calibri"/>
          <w:b/>
          <w:color w:val="525866"/>
          <w:sz w:val="22"/>
        </w:rPr>
        <w:t xml:space="preserve">Recycled and unbleached paperboard markets 'in good balance': </w:t>
      </w:r>
      <w:r>
        <w:rPr>
          <w:rFonts w:ascii="Calibri" w:hAnsi="Calibri"/>
          <w:color w:val="525866"/>
          <w:sz w:val="22"/>
        </w:rPr>
        <w:t xml:space="preserve">GPK stated that 'the 2 grades that really matter most to us... are recycled and unbleached... and both of those markets are in good balance.' Bleached paperboard 'continues to be oversupplied, but accounts for the smallest part of our business.' </w:t>
      </w:r>
      <w:r>
        <w:rPr>
          <w:rFonts w:ascii="Calibri" w:hAnsi="Calibri"/>
          <w:i/>
          <w:color w:val="525866"/>
          <w:sz w:val="22"/>
        </w:rPr>
        <w:t>PKG read-through: Directly relevant — confirms the containerboard grades PKG uses (unbleached kraft) are in balance, supporting pricing power.</w:t>
      </w:r>
    </w:p>
    <w:p>
      <w:pPr>
        <w:pStyle w:val="ListBullet"/>
        <w:ind w:left="360" w:hanging="360"/>
      </w:pPr>
      <w:r>
        <w:rPr>
          <w:rFonts w:ascii="Calibri" w:hAnsi="Calibri"/>
          <w:b/>
          <w:color w:val="525866"/>
          <w:sz w:val="22"/>
        </w:rPr>
        <w:t xml:space="preserve">Pricing: $60/ton cup stock increase announced April 9: </w:t>
      </w:r>
      <w:r>
        <w:rPr>
          <w:rFonts w:ascii="Calibri" w:hAnsi="Calibri"/>
          <w:color w:val="525866"/>
          <w:sz w:val="22"/>
        </w:rPr>
        <w:t xml:space="preserve">GPK announced a $60/ton price increase for bleached cup stock effective May 8. Most affected contracts require RISI index recognition before pass-through, creating a 3–6 month lag. </w:t>
      </w:r>
      <w:r>
        <w:rPr>
          <w:rFonts w:ascii="Calibri" w:hAnsi="Calibri"/>
          <w:i/>
          <w:color w:val="525866"/>
          <w:sz w:val="22"/>
        </w:rPr>
        <w:t>PKG read-through: Confirms the industry-wide pricing push; the RISI lag dynamic is similar to PKG's own price realization timeline.</w:t>
      </w:r>
    </w:p>
    <w:p>
      <w:pPr>
        <w:pStyle w:val="ListBullet"/>
        <w:ind w:left="360" w:hanging="360"/>
      </w:pPr>
      <w:r>
        <w:rPr>
          <w:rFonts w:ascii="Calibri" w:hAnsi="Calibri"/>
          <w:b/>
          <w:color w:val="525866"/>
          <w:sz w:val="22"/>
        </w:rPr>
        <w:t xml:space="preserve">Geopolitical uncertainty drives 'assurance of supply' demand: </w:t>
      </w:r>
      <w:r>
        <w:rPr>
          <w:rFonts w:ascii="Calibri" w:hAnsi="Calibri"/>
          <w:color w:val="525866"/>
          <w:sz w:val="22"/>
        </w:rPr>
        <w:t xml:space="preserve">GPK noted that 'whenever there's geopolitical uncertainty, the assurance supplier becomes a bigger deal to our customers.' This provides an opportunity to 'stop any negative trends or to introduce the idea of a packaging price.' </w:t>
      </w:r>
      <w:r>
        <w:rPr>
          <w:rFonts w:ascii="Calibri" w:hAnsi="Calibri"/>
          <w:i/>
          <w:color w:val="525866"/>
          <w:sz w:val="22"/>
        </w:rPr>
        <w:t>PKG read-through: Positive — PKG's domestic-only, integrated model is a natural 'assurance supplier' in this environment.</w:t>
      </w:r>
    </w:p>
    <w:p>
      <w:pPr>
        <w:pStyle w:val="ListBullet"/>
        <w:ind w:left="360" w:hanging="360"/>
      </w:pPr>
      <w:r>
        <w:rPr>
          <w:rFonts w:ascii="Calibri" w:hAnsi="Calibri"/>
          <w:b/>
          <w:color w:val="525866"/>
          <w:sz w:val="22"/>
        </w:rPr>
        <w:t xml:space="preserve">Q2 2026 EBITDA guidance: $230–$250M; FY 2026 guidance reaffirmed at $1.05–$1.25B: </w:t>
      </w:r>
      <w:r>
        <w:rPr>
          <w:rFonts w:ascii="Calibri" w:hAnsi="Calibri"/>
          <w:color w:val="525866"/>
          <w:sz w:val="22"/>
        </w:rPr>
        <w:t xml:space="preserve">GPK guided Q2 EBITDA to $230–$250M, including ~$10M incremental inflationary impact vs. Q1. Full-year guidance reaffirmed. Cash flow generation described as 'back-end weighted.' </w:t>
      </w:r>
      <w:r>
        <w:rPr>
          <w:rFonts w:ascii="Calibri" w:hAnsi="Calibri"/>
          <w:i/>
          <w:color w:val="525866"/>
          <w:sz w:val="22"/>
        </w:rPr>
        <w:t>PKG read-through: The back-end weighted cash flow and H2 step-up narrative is consistent across the sector.</w:t>
      </w:r>
    </w:p>
    <w:p>
      <w:pPr>
        <w:pStyle w:val="Heading3"/>
      </w:pPr>
      <w:r>
        <w:rPr>
          <w:rFonts w:ascii="Calibri" w:hAnsi="Calibri"/>
          <w:b/>
          <w:color w:val="3B4259"/>
          <w:sz w:val="24"/>
        </w:rPr>
        <w:t>Sonoco Products (SON) — Q1 2026 Earnings Call (April 22, 2026)</w:t>
      </w:r>
    </w:p>
    <w:p>
      <w:r>
        <w:rPr>
          <w:rFonts w:ascii="Calibri" w:hAnsi="Calibri"/>
          <w:b/>
          <w:color w:val="525866"/>
          <w:sz w:val="22"/>
        </w:rPr>
        <w:t xml:space="preserve">Relevance to PKG: </w:t>
      </w:r>
      <w:r>
        <w:rPr>
          <w:rFonts w:ascii="Calibri" w:hAnsi="Calibri"/>
          <w:color w:val="525866"/>
          <w:sz w:val="22"/>
        </w:rPr>
        <w:t>SON is a diversified packaging company with significant industrial paper packaging (tubes, cores, URB) and consumer packaging exposure. Its URB pricing and industrial demand commentary is relevant to PKG's fiber cost and end-market outlook.</w:t>
      </w:r>
    </w:p>
    <w:p>
      <w:pPr>
        <w:pStyle w:val="ListBullet"/>
        <w:ind w:left="360" w:hanging="360"/>
      </w:pPr>
      <w:r>
        <w:rPr>
          <w:rFonts w:ascii="Calibri" w:hAnsi="Calibri"/>
          <w:b/>
          <w:color w:val="525866"/>
          <w:sz w:val="22"/>
        </w:rPr>
        <w:t xml:space="preserve">URB price increases gaining traction: </w:t>
      </w:r>
      <w:r>
        <w:rPr>
          <w:rFonts w:ascii="Calibri" w:hAnsi="Calibri"/>
          <w:color w:val="525866"/>
          <w:sz w:val="22"/>
        </w:rPr>
        <w:t xml:space="preserve">SON implemented a $70/ton URB increase in the U.S. and EUR 80/ton in Europe. Fast Markets reported an initial $60/ton increase in U.S. URB prices. Mill utilization rates in North America at ~90–91%, expected to rise to 92–93% as new volume flows through. </w:t>
      </w:r>
      <w:r>
        <w:rPr>
          <w:rFonts w:ascii="Calibri" w:hAnsi="Calibri"/>
          <w:i/>
          <w:color w:val="525866"/>
          <w:sz w:val="22"/>
        </w:rPr>
        <w:t>PKG read-through: Rising URB prices are a modest input cost headwind for PKG's recycled fiber usage, but PKG's integrated virgin kraft capability provides flexibility to shift away from recycled fiber (as management confirmed at Q1).</w:t>
      </w:r>
    </w:p>
    <w:p>
      <w:pPr>
        <w:pStyle w:val="ListBullet"/>
        <w:ind w:left="360" w:hanging="360"/>
      </w:pPr>
      <w:r>
        <w:rPr>
          <w:rFonts w:ascii="Calibri" w:hAnsi="Calibri"/>
          <w:b/>
          <w:color w:val="525866"/>
          <w:sz w:val="22"/>
        </w:rPr>
        <w:t xml:space="preserve">Freight is the primary cost driver: </w:t>
      </w:r>
      <w:r>
        <w:rPr>
          <w:rFonts w:ascii="Calibri" w:hAnsi="Calibri"/>
          <w:color w:val="525866"/>
          <w:sz w:val="22"/>
        </w:rPr>
        <w:t xml:space="preserve">SON identified freight as 'the primary driver' of cost inflation, with rising diesel prices impacting immediately. Q2 net freight/energy impact estimated at $8–10M. Recovery mechanisms have a 3–4 week lag. </w:t>
      </w:r>
      <w:r>
        <w:rPr>
          <w:rFonts w:ascii="Calibri" w:hAnsi="Calibri"/>
          <w:i/>
          <w:color w:val="525866"/>
          <w:sz w:val="22"/>
        </w:rPr>
        <w:t>PKG read-through: Consistent with PKG's own freight headwind commentary; confirms the cost pressure is sector-wide.</w:t>
      </w:r>
    </w:p>
    <w:p>
      <w:pPr>
        <w:pStyle w:val="ListBullet"/>
        <w:ind w:left="360" w:hanging="360"/>
      </w:pPr>
      <w:r>
        <w:rPr>
          <w:rFonts w:ascii="Calibri" w:hAnsi="Calibri"/>
          <w:b/>
          <w:color w:val="525866"/>
          <w:sz w:val="22"/>
        </w:rPr>
        <w:t xml:space="preserve">Consumer staples demand resilient: </w:t>
      </w:r>
      <w:r>
        <w:rPr>
          <w:rFonts w:ascii="Calibri" w:hAnsi="Calibri"/>
          <w:color w:val="525866"/>
          <w:sz w:val="22"/>
        </w:rPr>
        <w:t xml:space="preserve">SON noted that in periods of economic stress, volumes in their consumer business (affordable, center-of-store, staple food categories) 'have historically remained resilient, and in some cases, have improved as people cook at home more.' April showed 'encouraging signs' of recovery. </w:t>
      </w:r>
      <w:r>
        <w:rPr>
          <w:rFonts w:ascii="Calibri" w:hAnsi="Calibri"/>
          <w:i/>
          <w:color w:val="525866"/>
          <w:sz w:val="22"/>
        </w:rPr>
        <w:t>PKG read-through: Positive for PKG's food/beverage end market exposure.</w:t>
      </w:r>
    </w:p>
    <w:p>
      <w:pPr>
        <w:pStyle w:val="ListBullet"/>
        <w:ind w:left="360" w:hanging="360"/>
      </w:pPr>
      <w:r>
        <w:rPr>
          <w:rFonts w:ascii="Calibri" w:hAnsi="Calibri"/>
          <w:b/>
          <w:color w:val="525866"/>
          <w:sz w:val="22"/>
        </w:rPr>
        <w:t xml:space="preserve">Full-year guidance maintained: </w:t>
      </w:r>
      <w:r>
        <w:rPr>
          <w:rFonts w:ascii="Calibri" w:hAnsi="Calibri"/>
          <w:color w:val="525866"/>
          <w:sz w:val="22"/>
        </w:rPr>
        <w:t xml:space="preserve">SON maintained FY 2026 sales of $7.25–$7.75B and adjusted EBITDA of $1.25–$1.35B, with EPS trending toward the lower end of the $5.80–$6.20 range. </w:t>
      </w:r>
      <w:r>
        <w:rPr>
          <w:rFonts w:ascii="Calibri" w:hAnsi="Calibri"/>
          <w:i/>
          <w:color w:val="525866"/>
          <w:sz w:val="22"/>
        </w:rPr>
        <w:t>PKG read-through: Neutral — SON's guidance maintenance despite headwinds suggests the sector can absorb the cost inflation through pricing and productivity.</w:t>
      </w:r>
    </w:p>
    <w:p>
      <w:pPr>
        <w:pStyle w:val="Heading3"/>
      </w:pPr>
      <w:r>
        <w:rPr>
          <w:rFonts w:ascii="Calibri" w:hAnsi="Calibri"/>
          <w:b/>
          <w:color w:val="3B4259"/>
          <w:sz w:val="24"/>
        </w:rPr>
        <w:t>Greif (GEF) — Q2 2026 Earnings Call (April 29, 2026)</w:t>
      </w:r>
    </w:p>
    <w:p>
      <w:r>
        <w:rPr>
          <w:rFonts w:ascii="Calibri" w:hAnsi="Calibri"/>
          <w:b/>
          <w:color w:val="525866"/>
          <w:sz w:val="22"/>
        </w:rPr>
        <w:t xml:space="preserve">Relevance to PKG: </w:t>
      </w:r>
      <w:r>
        <w:rPr>
          <w:rFonts w:ascii="Calibri" w:hAnsi="Calibri"/>
          <w:color w:val="525866"/>
          <w:sz w:val="22"/>
        </w:rPr>
        <w:t>GEF is the company PKG acquired the containerboard assets from. GEF's remaining industrial packaging business (steel drums, fiber drums, closures) provides a read on industrial end-market demand and the Middle East conflict impact.</w:t>
      </w:r>
    </w:p>
    <w:p>
      <w:pPr>
        <w:pStyle w:val="ListBullet"/>
        <w:ind w:left="360" w:hanging="360"/>
      </w:pPr>
      <w:r>
        <w:rPr>
          <w:rFonts w:ascii="Calibri" w:hAnsi="Calibri"/>
          <w:b/>
          <w:color w:val="525866"/>
          <w:sz w:val="22"/>
        </w:rPr>
        <w:t xml:space="preserve">Industrial demand remains soft; no inflection expected: </w:t>
      </w:r>
      <w:r>
        <w:rPr>
          <w:rFonts w:ascii="Calibri" w:hAnsi="Calibri"/>
          <w:color w:val="525866"/>
          <w:sz w:val="22"/>
        </w:rPr>
        <w:t xml:space="preserve">GEF described 'underlying industrial end market demand remained consistent with what the company has observed over the past 12 months' — i.e., an 'industrial recessionary environment.' Volume in Q2 was 'very similar to Q1, excluding the Middle East disruption.' No inflection anticipated for the rest of the year. </w:t>
      </w:r>
      <w:r>
        <w:rPr>
          <w:rFonts w:ascii="Calibri" w:hAnsi="Calibri"/>
          <w:i/>
          <w:color w:val="525866"/>
          <w:sz w:val="22"/>
        </w:rPr>
        <w:t>PKG read-through: Modest negative for PKG's industrial end markets (manufactured goods, auto parts), but PKG's corrugated business is more consumer-oriented and has shown stronger demand trends.</w:t>
      </w:r>
    </w:p>
    <w:p>
      <w:pPr>
        <w:pStyle w:val="ListBullet"/>
        <w:ind w:left="360" w:hanging="360"/>
      </w:pPr>
      <w:r>
        <w:rPr>
          <w:rFonts w:ascii="Calibri" w:hAnsi="Calibri"/>
          <w:b/>
          <w:color w:val="525866"/>
          <w:sz w:val="22"/>
        </w:rPr>
        <w:t xml:space="preserve">Middle East conflict driving steel volume disruption: </w:t>
      </w:r>
      <w:r>
        <w:rPr>
          <w:rFonts w:ascii="Calibri" w:hAnsi="Calibri"/>
          <w:color w:val="525866"/>
          <w:sz w:val="22"/>
        </w:rPr>
        <w:t xml:space="preserve">GEF cited the Middle East conflict as causing direct volume disruption in steel containers, with the impact expected to continue until a resolution is found. Full-year EBITDA guidance low-end revised to $610M. </w:t>
      </w:r>
      <w:r>
        <w:rPr>
          <w:rFonts w:ascii="Calibri" w:hAnsi="Calibri"/>
          <w:i/>
          <w:color w:val="525866"/>
          <w:sz w:val="22"/>
        </w:rPr>
        <w:t>PKG read-through: PKG has minimal direct Middle East exposure; the primary impact is indirect through freight/energy costs, which are already embedded in guidance.</w:t>
      </w:r>
    </w:p>
    <w:p>
      <w:pPr>
        <w:pStyle w:val="ListBullet"/>
        <w:ind w:left="360" w:hanging="360"/>
      </w:pPr>
      <w:r>
        <w:rPr>
          <w:rFonts w:ascii="Calibri" w:hAnsi="Calibri"/>
          <w:b/>
          <w:color w:val="525866"/>
          <w:sz w:val="22"/>
        </w:rPr>
        <w:t xml:space="preserve">URB price increase: $60/ton recognized by RISI in April: </w:t>
      </w:r>
      <w:r>
        <w:rPr>
          <w:rFonts w:ascii="Calibri" w:hAnsi="Calibri"/>
          <w:color w:val="525866"/>
          <w:sz w:val="22"/>
        </w:rPr>
        <w:t xml:space="preserve">GEF announced a $60–70/ton URB price increase, recognized at $60/ton by RISI in April. OCC up $5/ton. Net benefit of ~$9M to GEF. </w:t>
      </w:r>
      <w:r>
        <w:rPr>
          <w:rFonts w:ascii="Calibri" w:hAnsi="Calibri"/>
          <w:i/>
          <w:color w:val="525866"/>
          <w:sz w:val="22"/>
        </w:rPr>
        <w:t>PKG read-through: Confirms the URB pricing environment; OCC cost increase is a modest headwind for PKG's recycled fiber usage.</w:t>
      </w:r>
    </w:p>
    <w:p>
      <w:pPr>
        <w:pStyle w:val="Heading3"/>
      </w:pPr>
      <w:r>
        <w:rPr>
          <w:rFonts w:ascii="Calibri" w:hAnsi="Calibri"/>
          <w:b/>
          <w:color w:val="3B4259"/>
          <w:sz w:val="24"/>
        </w:rPr>
        <w:t>Crown Holdings (CCK) — Q2 2026 Earnings Call (July 21, 2026 — TODAY)</w:t>
      </w:r>
    </w:p>
    <w:p>
      <w:r>
        <w:rPr>
          <w:rFonts w:ascii="Calibri" w:hAnsi="Calibri"/>
          <w:b/>
          <w:color w:val="525866"/>
          <w:sz w:val="22"/>
        </w:rPr>
        <w:t xml:space="preserve">Relevance to PKG: </w:t>
      </w:r>
      <w:r>
        <w:rPr>
          <w:rFonts w:ascii="Calibri" w:hAnsi="Calibri"/>
          <w:color w:val="525866"/>
          <w:sz w:val="22"/>
        </w:rPr>
        <w:t>CCK is a beverage can and food can manufacturer — less direct than containerboard peers but relevant for consumer demand trends, freight/energy cost commentary, and overall packaging sector sentiment. CCK reported Q2 2026 results today, making this the most timely read-through.</w:t>
      </w:r>
    </w:p>
    <w:p>
      <w:pPr>
        <w:pStyle w:val="ListBullet"/>
        <w:ind w:left="360" w:hanging="360"/>
      </w:pPr>
      <w:r>
        <w:rPr>
          <w:rFonts w:ascii="Calibri" w:hAnsi="Calibri"/>
          <w:b/>
          <w:color w:val="525866"/>
          <w:sz w:val="22"/>
        </w:rPr>
        <w:t xml:space="preserve">Strong Q2 volume growth: global beverage can volumes +5% in Q2 (following +5% in Q1): </w:t>
      </w:r>
      <w:r>
        <w:rPr>
          <w:rFonts w:ascii="Calibri" w:hAnsi="Calibri"/>
          <w:color w:val="525866"/>
          <w:sz w:val="22"/>
        </w:rPr>
        <w:t xml:space="preserve">North America +5%, Europe +7%, Asia Pacific income +6%. Management noted demand 'feels very firm right now' globally. Full-year North American can shipments expected to be '3 to 4% above 2025.' </w:t>
      </w:r>
      <w:r>
        <w:rPr>
          <w:rFonts w:ascii="Calibri" w:hAnsi="Calibri"/>
          <w:i/>
          <w:color w:val="525866"/>
          <w:sz w:val="22"/>
        </w:rPr>
        <w:t>PKG read-through: Positive consumer demand signal; at-home consumption trends (eating at home vs. restaurants) are driving can volumes, which is consistent with PKG's food/beverage corrugated end market strength.</w:t>
      </w:r>
    </w:p>
    <w:p>
      <w:pPr>
        <w:pStyle w:val="ListBullet"/>
        <w:ind w:left="360" w:hanging="360"/>
      </w:pPr>
      <w:r>
        <w:rPr>
          <w:rFonts w:ascii="Calibri" w:hAnsi="Calibri"/>
          <w:b/>
          <w:color w:val="525866"/>
          <w:sz w:val="22"/>
        </w:rPr>
        <w:t xml:space="preserve">Full-year EPS guidance raised to $8.30–$8.50 (from $7.90–$8.30): </w:t>
      </w:r>
      <w:r>
        <w:rPr>
          <w:rFonts w:ascii="Calibri" w:hAnsi="Calibri"/>
          <w:color w:val="525866"/>
          <w:sz w:val="22"/>
        </w:rPr>
        <w:t xml:space="preserve">CCK raised full-year 2026 adjusted diluted EPS guidance based on 'strong first half performance and positive demand outlook.' Q3 EPS guided to $2.20–$2.30. </w:t>
      </w:r>
      <w:r>
        <w:rPr>
          <w:rFonts w:ascii="Calibri" w:hAnsi="Calibri"/>
          <w:i/>
          <w:color w:val="525866"/>
          <w:sz w:val="22"/>
        </w:rPr>
        <w:t>PKG read-through: Positive sector sentiment; a packaging peer raising guidance on the same day as PKG's earnings is a constructive backdrop.</w:t>
      </w:r>
    </w:p>
    <w:p>
      <w:pPr>
        <w:pStyle w:val="ListBullet"/>
        <w:ind w:left="360" w:hanging="360"/>
      </w:pPr>
      <w:r>
        <w:rPr>
          <w:rFonts w:ascii="Calibri" w:hAnsi="Calibri"/>
          <w:b/>
          <w:color w:val="525866"/>
          <w:sz w:val="22"/>
        </w:rPr>
        <w:t xml:space="preserve">Freight and Middle East conflict: caution for H2: </w:t>
      </w:r>
      <w:r>
        <w:rPr>
          <w:rFonts w:ascii="Calibri" w:hAnsi="Calibri"/>
          <w:color w:val="525866"/>
          <w:sz w:val="22"/>
        </w:rPr>
        <w:t xml:space="preserve">CCK expressed 'a little bit of caution around the second half' due to the Middle East conflict driving higher ocean freight, industrial gases, and inflation. 'We probably have an inflation number pencilled in for the second half that we didn't have as high a number when we spoke to you three months ago.' </w:t>
      </w:r>
      <w:r>
        <w:rPr>
          <w:rFonts w:ascii="Calibri" w:hAnsi="Calibri"/>
          <w:i/>
          <w:color w:val="525866"/>
          <w:sz w:val="22"/>
        </w:rPr>
        <w:t>PKG read-through: Confirms freight/energy cost pressure is a sector-wide H2 risk; however, PKG's domestic-only model and energy independence investments provide relative insulation.</w:t>
      </w:r>
    </w:p>
    <w:p>
      <w:pPr>
        <w:pStyle w:val="ListBullet"/>
        <w:ind w:left="360" w:hanging="360"/>
      </w:pPr>
      <w:r>
        <w:rPr>
          <w:rFonts w:ascii="Calibri" w:hAnsi="Calibri"/>
          <w:b/>
          <w:color w:val="525866"/>
          <w:sz w:val="22"/>
        </w:rPr>
        <w:t xml:space="preserve">At-home consumption driving demand: </w:t>
      </w:r>
      <w:r>
        <w:rPr>
          <w:rFonts w:ascii="Calibri" w:hAnsi="Calibri"/>
          <w:color w:val="525866"/>
          <w:sz w:val="22"/>
        </w:rPr>
        <w:t xml:space="preserve">CCK CEO noted: 'In times when consumers are stretched and stressed, dining at home or consuming at home becomes more prevalent.' The Tampa restaurant scene is 'really struggling this summer, which tells me people are eating at home.' Retail rollbacks by a large retailer expected to drive more volume. </w:t>
      </w:r>
      <w:r>
        <w:rPr>
          <w:rFonts w:ascii="Calibri" w:hAnsi="Calibri"/>
          <w:i/>
          <w:color w:val="525866"/>
          <w:sz w:val="22"/>
        </w:rPr>
        <w:t>PKG read-through: Positive for PKG's food/beverage corrugated end markets; at-home consumption is a structural tailwind for corrugated packaging demand.</w:t>
      </w:r>
    </w:p>
    <w:p>
      <w:pPr>
        <w:pStyle w:val="ListBullet"/>
        <w:ind w:left="360" w:hanging="360"/>
      </w:pPr>
      <w:r>
        <w:rPr>
          <w:rFonts w:ascii="Calibri" w:hAnsi="Calibri"/>
          <w:b/>
          <w:color w:val="525866"/>
          <w:sz w:val="22"/>
        </w:rPr>
        <w:t xml:space="preserve">World Cup driving incremental volume: </w:t>
      </w:r>
      <w:r>
        <w:rPr>
          <w:rFonts w:ascii="Calibri" w:hAnsi="Calibri"/>
          <w:color w:val="525866"/>
          <w:sz w:val="22"/>
        </w:rPr>
        <w:t xml:space="preserve">CCK attributed roughly half of Q2's 5% North American volume growth to 'outsized World Cup activity.' This will not repeat in H2. </w:t>
      </w:r>
      <w:r>
        <w:rPr>
          <w:rFonts w:ascii="Calibri" w:hAnsi="Calibri"/>
          <w:i/>
          <w:color w:val="525866"/>
          <w:sz w:val="22"/>
        </w:rPr>
        <w:t>PKG read-through: Neutral — PKG's corrugated business is less directly exposed to World Cup-driven beverage demand than CCK.</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Signal for PKG</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SW (Smurfit WestRock)</w:t>
            </w:r>
          </w:p>
        </w:tc>
        <w:tc>
          <w:tcPr>
            <w:tcW w:type="dxa" w:w="2160"/>
          </w:tcPr>
          <w:p>
            <w:r>
              <w:rPr>
                <w:rFonts w:ascii="Calibri" w:hAnsi="Calibri"/>
                <w:sz w:val="22"/>
              </w:rPr>
              <w:t>Apr 30, 2026</w:t>
            </w:r>
          </w:p>
        </w:tc>
        <w:tc>
          <w:tcPr>
            <w:tcW w:type="dxa" w:w="2160"/>
          </w:tcPr>
          <w:p>
            <w:r>
              <w:rPr>
                <w:rFonts w:ascii="Calibri" w:hAnsi="Calibri"/>
                <w:sz w:val="22"/>
              </w:rPr>
              <w:t>All paper grades sold out; demand inflection in April; first $50/ton increase fully implemented by July 1; cautiously optimistic on H2</w:t>
            </w:r>
          </w:p>
        </w:tc>
        <w:tc>
          <w:tcPr>
            <w:tcW w:type="dxa" w:w="2160"/>
          </w:tcPr>
          <w:p>
            <w:r>
              <w:rPr>
                <w:rFonts w:ascii="Calibri" w:hAnsi="Calibri"/>
                <w:b/>
                <w:color w:val="30A46C"/>
                <w:sz w:val="22"/>
              </w:rPr>
              <w:t>Positive</w:t>
            </w:r>
          </w:p>
        </w:tc>
      </w:tr>
      <w:tr>
        <w:tc>
          <w:tcPr>
            <w:tcW w:type="dxa" w:w="2160"/>
          </w:tcPr>
          <w:p>
            <w:r>
              <w:rPr>
                <w:rFonts w:ascii="Calibri" w:hAnsi="Calibri"/>
                <w:sz w:val="22"/>
              </w:rPr>
              <w:t>IP (International Paper)</w:t>
            </w:r>
          </w:p>
        </w:tc>
        <w:tc>
          <w:tcPr>
            <w:tcW w:type="dxa" w:w="2160"/>
          </w:tcPr>
          <w:p>
            <w:r>
              <w:rPr>
                <w:rFonts w:ascii="Calibri" w:hAnsi="Calibri"/>
                <w:sz w:val="22"/>
              </w:rPr>
              <w:t>Apr 30, 2026</w:t>
            </w:r>
          </w:p>
        </w:tc>
        <w:tc>
          <w:tcPr>
            <w:tcW w:type="dxa" w:w="2160"/>
          </w:tcPr>
          <w:p>
            <w:r>
              <w:rPr>
                <w:rFonts w:ascii="Calibri" w:hAnsi="Calibri"/>
                <w:sz w:val="22"/>
              </w:rPr>
              <w:t>Paper market 'very tight'; $650M H2 EBITDA step-up; freight/OCC headwinds sector-wide; industry demand ~1pt softer than expected</w:t>
            </w:r>
          </w:p>
        </w:tc>
        <w:tc>
          <w:tcPr>
            <w:tcW w:type="dxa" w:w="2160"/>
          </w:tcPr>
          <w:p>
            <w:r>
              <w:rPr>
                <w:rFonts w:ascii="Calibri" w:hAnsi="Calibri"/>
                <w:b/>
                <w:color w:val="30A46C"/>
                <w:sz w:val="22"/>
              </w:rPr>
              <w:t>Mostly Positive</w:t>
            </w:r>
          </w:p>
        </w:tc>
      </w:tr>
      <w:tr>
        <w:tc>
          <w:tcPr>
            <w:tcW w:type="dxa" w:w="2160"/>
          </w:tcPr>
          <w:p>
            <w:r>
              <w:rPr>
                <w:rFonts w:ascii="Calibri" w:hAnsi="Calibri"/>
                <w:sz w:val="22"/>
              </w:rPr>
              <w:t>GPK (Graphic Packaging)</w:t>
            </w:r>
          </w:p>
        </w:tc>
        <w:tc>
          <w:tcPr>
            <w:tcW w:type="dxa" w:w="2160"/>
          </w:tcPr>
          <w:p>
            <w:r>
              <w:rPr>
                <w:rFonts w:ascii="Calibri" w:hAnsi="Calibri"/>
                <w:sz w:val="22"/>
              </w:rPr>
              <w:t>May 5, 2026</w:t>
            </w:r>
          </w:p>
        </w:tc>
        <w:tc>
          <w:tcPr>
            <w:tcW w:type="dxa" w:w="2160"/>
          </w:tcPr>
          <w:p>
            <w:r>
              <w:rPr>
                <w:rFonts w:ascii="Calibri" w:hAnsi="Calibri"/>
                <w:sz w:val="22"/>
              </w:rPr>
              <w:t>Recycled/unbleached markets 'in good balance'; assurance of supply demand rising; back-end weighted cash flow; $60/ton cup stock increase</w:t>
            </w:r>
          </w:p>
        </w:tc>
        <w:tc>
          <w:tcPr>
            <w:tcW w:type="dxa" w:w="2160"/>
          </w:tcPr>
          <w:p>
            <w:r>
              <w:rPr>
                <w:rFonts w:ascii="Calibri" w:hAnsi="Calibri"/>
                <w:b/>
                <w:color w:val="30A46C"/>
                <w:sz w:val="22"/>
              </w:rPr>
              <w:t>Positive</w:t>
            </w:r>
          </w:p>
        </w:tc>
      </w:tr>
      <w:tr>
        <w:tc>
          <w:tcPr>
            <w:tcW w:type="dxa" w:w="2160"/>
          </w:tcPr>
          <w:p>
            <w:r>
              <w:rPr>
                <w:rFonts w:ascii="Calibri" w:hAnsi="Calibri"/>
                <w:sz w:val="22"/>
              </w:rPr>
              <w:t>SON (Sonoco)</w:t>
            </w:r>
          </w:p>
        </w:tc>
        <w:tc>
          <w:tcPr>
            <w:tcW w:type="dxa" w:w="2160"/>
          </w:tcPr>
          <w:p>
            <w:r>
              <w:rPr>
                <w:rFonts w:ascii="Calibri" w:hAnsi="Calibri"/>
                <w:sz w:val="22"/>
              </w:rPr>
              <w:t>Apr 22, 2026</w:t>
            </w:r>
          </w:p>
        </w:tc>
        <w:tc>
          <w:tcPr>
            <w:tcW w:type="dxa" w:w="2160"/>
          </w:tcPr>
          <w:p>
            <w:r>
              <w:rPr>
                <w:rFonts w:ascii="Calibri" w:hAnsi="Calibri"/>
                <w:sz w:val="22"/>
              </w:rPr>
              <w:t>URB prices rising; freight primary cost driver; consumer staples demand resilient; full-year guidance maintained</w:t>
            </w:r>
          </w:p>
        </w:tc>
        <w:tc>
          <w:tcPr>
            <w:tcW w:type="dxa" w:w="2160"/>
          </w:tcPr>
          <w:p>
            <w:r>
              <w:rPr>
                <w:rFonts w:ascii="Calibri" w:hAnsi="Calibri"/>
                <w:b/>
                <w:color w:val="30A46C"/>
                <w:sz w:val="22"/>
              </w:rPr>
              <w:t>Neutral/Positive</w:t>
            </w:r>
          </w:p>
        </w:tc>
      </w:tr>
      <w:tr>
        <w:tc>
          <w:tcPr>
            <w:tcW w:type="dxa" w:w="2160"/>
          </w:tcPr>
          <w:p>
            <w:r>
              <w:rPr>
                <w:rFonts w:ascii="Calibri" w:hAnsi="Calibri"/>
                <w:sz w:val="22"/>
              </w:rPr>
              <w:t>GEF (Greif)</w:t>
            </w:r>
          </w:p>
        </w:tc>
        <w:tc>
          <w:tcPr>
            <w:tcW w:type="dxa" w:w="2160"/>
          </w:tcPr>
          <w:p>
            <w:r>
              <w:rPr>
                <w:rFonts w:ascii="Calibri" w:hAnsi="Calibri"/>
                <w:sz w:val="22"/>
              </w:rPr>
              <w:t>Apr 29, 2026</w:t>
            </w:r>
          </w:p>
        </w:tc>
        <w:tc>
          <w:tcPr>
            <w:tcW w:type="dxa" w:w="2160"/>
          </w:tcPr>
          <w:p>
            <w:r>
              <w:rPr>
                <w:rFonts w:ascii="Calibri" w:hAnsi="Calibri"/>
                <w:sz w:val="22"/>
              </w:rPr>
              <w:t>Industrial demand soft; Middle East disruption in steel volumes; URB $60/ton RISI-recognized; OCC up $5/ton</w:t>
            </w:r>
          </w:p>
        </w:tc>
        <w:tc>
          <w:tcPr>
            <w:tcW w:type="dxa" w:w="2160"/>
          </w:tcPr>
          <w:p>
            <w:r>
              <w:rPr>
                <w:rFonts w:ascii="Calibri" w:hAnsi="Calibri"/>
                <w:b/>
                <w:color w:val="E5484D"/>
                <w:sz w:val="22"/>
              </w:rPr>
              <w:t>Mixed</w:t>
            </w:r>
          </w:p>
        </w:tc>
      </w:tr>
      <w:tr>
        <w:tc>
          <w:tcPr>
            <w:tcW w:type="dxa" w:w="2160"/>
          </w:tcPr>
          <w:p>
            <w:r>
              <w:rPr>
                <w:rFonts w:ascii="Calibri" w:hAnsi="Calibri"/>
                <w:sz w:val="22"/>
              </w:rPr>
              <w:t>CCK (Crown Holdings)</w:t>
            </w:r>
          </w:p>
        </w:tc>
        <w:tc>
          <w:tcPr>
            <w:tcW w:type="dxa" w:w="2160"/>
          </w:tcPr>
          <w:p>
            <w:r>
              <w:rPr>
                <w:rFonts w:ascii="Calibri" w:hAnsi="Calibri"/>
                <w:sz w:val="22"/>
              </w:rPr>
              <w:t>Jul 21, 2026 (TODAY)</w:t>
            </w:r>
          </w:p>
        </w:tc>
        <w:tc>
          <w:tcPr>
            <w:tcW w:type="dxa" w:w="2160"/>
          </w:tcPr>
          <w:p>
            <w:r>
              <w:rPr>
                <w:rFonts w:ascii="Calibri" w:hAnsi="Calibri"/>
                <w:sz w:val="22"/>
              </w:rPr>
              <w:t>Global beverage can volumes +5% in Q2; full-year EPS guidance raised; at-home consumption driving demand; freight/Middle East caution for H2</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open-market transaction of note is a </w:t>
      </w:r>
      <w:r>
        <w:rPr>
          <w:rFonts w:ascii="Calibri" w:hAnsi="Calibri"/>
          <w:b/>
          <w:color w:val="525866"/>
          <w:sz w:val="22"/>
        </w:rPr>
        <w:t>discretionary sale by CEO Mark Kowlzan of ~9,266 shares (~$2.0M) on May 27, 2026</w:t>
      </w:r>
      <w:r>
        <w:rPr>
          <w:rFonts w:ascii="Calibri" w:hAnsi="Calibri"/>
          <w:color w:val="525866"/>
          <w:sz w:val="22"/>
        </w:rPr>
        <w:t xml:space="preserve"> — notable given the timing (post-Q1 beat, stock near recent highs) but not alarming given his large remaining position of ~473,610 shares. All other transactions are routine director compensation grants.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KOWLZAN, MARK W</w:t>
            </w:r>
          </w:p>
        </w:tc>
        <w:tc>
          <w:tcPr>
            <w:tcW w:type="dxa" w:w="1440"/>
          </w:tcPr>
          <w:p>
            <w:r>
              <w:rPr>
                <w:rFonts w:ascii="Calibri" w:hAnsi="Calibri"/>
                <w:sz w:val="22"/>
              </w:rPr>
              <w:t>Chairman &amp; CEO, Director</w:t>
            </w:r>
          </w:p>
        </w:tc>
        <w:tc>
          <w:tcPr>
            <w:tcW w:type="dxa" w:w="1440"/>
          </w:tcPr>
          <w:p>
            <w:r>
              <w:rPr>
                <w:rFonts w:ascii="Calibri" w:hAnsi="Calibri"/>
                <w:b/>
                <w:color w:val="E5484D"/>
                <w:sz w:val="22"/>
              </w:rPr>
              <w:t>Open Market Sale</w:t>
            </w:r>
          </w:p>
        </w:tc>
        <w:tc>
          <w:tcPr>
            <w:tcW w:type="dxa" w:w="1440"/>
          </w:tcPr>
          <w:p>
            <w:r>
              <w:rPr>
                <w:rFonts w:ascii="Calibri" w:hAnsi="Calibri"/>
                <w:sz w:val="22"/>
              </w:rPr>
              <w:t>9,266 shares</w:t>
            </w:r>
          </w:p>
        </w:tc>
        <w:tc>
          <w:tcPr>
            <w:tcW w:type="dxa" w:w="1440"/>
          </w:tcPr>
          <w:p>
            <w:r>
              <w:rPr>
                <w:rFonts w:ascii="Calibri" w:hAnsi="Calibri"/>
                <w:sz w:val="22"/>
              </w:rPr>
              <w:t>May 27, 2026</w:t>
            </w:r>
          </w:p>
        </w:tc>
        <w:tc>
          <w:tcPr>
            <w:tcW w:type="dxa" w:w="1440"/>
          </w:tcPr>
          <w:p>
            <w:r>
              <w:rPr>
                <w:rFonts w:ascii="Calibri" w:hAnsi="Calibri"/>
                <w:sz w:val="22"/>
              </w:rPr>
              <w:t>Discretionary sale (no 10b5-1 plan indicated); ~$2.0M estimated value at ~$218/share; 473,610 shares remaining — large position retained</w:t>
            </w:r>
          </w:p>
        </w:tc>
      </w:tr>
      <w:tr>
        <w:tc>
          <w:tcPr>
            <w:tcW w:type="dxa" w:w="1440"/>
          </w:tcPr>
          <w:p>
            <w:r>
              <w:rPr>
                <w:rFonts w:ascii="Calibri" w:hAnsi="Calibri"/>
                <w:sz w:val="22"/>
              </w:rPr>
              <w:t>MENCOFF, SAMUEL M</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270,194 shares held</w:t>
            </w:r>
          </w:p>
        </w:tc>
      </w:tr>
      <w:tr>
        <w:tc>
          <w:tcPr>
            <w:tcW w:type="dxa" w:w="1440"/>
          </w:tcPr>
          <w:p>
            <w:r>
              <w:rPr>
                <w:rFonts w:ascii="Calibri" w:hAnsi="Calibri"/>
                <w:sz w:val="22"/>
              </w:rPr>
              <w:t>BEEBE, CHERYL K</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15,104 shares held</w:t>
            </w:r>
          </w:p>
        </w:tc>
      </w:tr>
      <w:tr>
        <w:tc>
          <w:tcPr>
            <w:tcW w:type="dxa" w:w="1440"/>
          </w:tcPr>
          <w:p>
            <w:r>
              <w:rPr>
                <w:rFonts w:ascii="Calibri" w:hAnsi="Calibri"/>
                <w:sz w:val="22"/>
              </w:rPr>
              <w:t>FARRINGTON, DUANE C</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7,243 shares held</w:t>
            </w:r>
          </w:p>
        </w:tc>
      </w:tr>
      <w:tr>
        <w:tc>
          <w:tcPr>
            <w:tcW w:type="dxa" w:w="1440"/>
          </w:tcPr>
          <w:p>
            <w:r>
              <w:rPr>
                <w:rFonts w:ascii="Calibri" w:hAnsi="Calibri"/>
                <w:sz w:val="22"/>
              </w:rPr>
              <w:t>GOWLAND, KAREN E</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2,118 shares held</w:t>
            </w:r>
          </w:p>
        </w:tc>
      </w:tr>
      <w:tr>
        <w:tc>
          <w:tcPr>
            <w:tcW w:type="dxa" w:w="1440"/>
          </w:tcPr>
          <w:p>
            <w:r>
              <w:rPr>
                <w:rFonts w:ascii="Calibri" w:hAnsi="Calibri"/>
                <w:sz w:val="22"/>
              </w:rPr>
              <w:t>HARMAN, DONNA A.</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5,179 shares held</w:t>
            </w:r>
          </w:p>
        </w:tc>
      </w:tr>
      <w:tr>
        <w:tc>
          <w:tcPr>
            <w:tcW w:type="dxa" w:w="1440"/>
          </w:tcPr>
          <w:p>
            <w:r>
              <w:rPr>
                <w:rFonts w:ascii="Calibri" w:hAnsi="Calibri"/>
                <w:sz w:val="22"/>
              </w:rPr>
              <w:t>LYONS, ROBERT C</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13,429 shares held</w:t>
            </w:r>
          </w:p>
        </w:tc>
      </w:tr>
      <w:tr>
        <w:tc>
          <w:tcPr>
            <w:tcW w:type="dxa" w:w="1440"/>
          </w:tcPr>
          <w:p>
            <w:r>
              <w:rPr>
                <w:rFonts w:ascii="Calibri" w:hAnsi="Calibri"/>
                <w:sz w:val="22"/>
              </w:rPr>
              <w:t>PORTER, ROGER B</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22,604 shares held</w:t>
            </w:r>
          </w:p>
        </w:tc>
      </w:tr>
      <w:tr>
        <w:tc>
          <w:tcPr>
            <w:tcW w:type="dxa" w:w="1440"/>
          </w:tcPr>
          <w:p>
            <w:r>
              <w:rPr>
                <w:rFonts w:ascii="Calibri" w:hAnsi="Calibri"/>
                <w:sz w:val="22"/>
              </w:rPr>
              <w:t>SOULELES, THOMAS S</w:t>
            </w:r>
          </w:p>
        </w:tc>
        <w:tc>
          <w:tcPr>
            <w:tcW w:type="dxa" w:w="1440"/>
          </w:tcPr>
          <w:p>
            <w:r>
              <w:rPr>
                <w:rFonts w:ascii="Calibri" w:hAnsi="Calibri"/>
                <w:sz w:val="22"/>
              </w:rPr>
              <w:t>Director</w:t>
            </w:r>
          </w:p>
        </w:tc>
        <w:tc>
          <w:tcPr>
            <w:tcW w:type="dxa" w:w="1440"/>
          </w:tcPr>
          <w:p>
            <w:r>
              <w:rPr>
                <w:rFonts w:ascii="Calibri" w:hAnsi="Calibri"/>
                <w:sz w:val="22"/>
              </w:rPr>
              <w:t>Director Compensation Grant (Award)</w:t>
            </w:r>
          </w:p>
        </w:tc>
        <w:tc>
          <w:tcPr>
            <w:tcW w:type="dxa" w:w="1440"/>
          </w:tcPr>
          <w:p>
            <w:r>
              <w:rPr>
                <w:rFonts w:ascii="Calibri" w:hAnsi="Calibri"/>
                <w:sz w:val="22"/>
              </w:rPr>
              <w:t>591 shares</w:t>
            </w:r>
          </w:p>
        </w:tc>
        <w:tc>
          <w:tcPr>
            <w:tcW w:type="dxa" w:w="1440"/>
          </w:tcPr>
          <w:p>
            <w:r>
              <w:rPr>
                <w:rFonts w:ascii="Calibri" w:hAnsi="Calibri"/>
                <w:sz w:val="22"/>
              </w:rPr>
              <w:t>May 12, 2026</w:t>
            </w:r>
          </w:p>
        </w:tc>
        <w:tc>
          <w:tcPr>
            <w:tcW w:type="dxa" w:w="1440"/>
          </w:tcPr>
          <w:p>
            <w:r>
              <w:rPr>
                <w:rFonts w:ascii="Calibri" w:hAnsi="Calibri"/>
                <w:sz w:val="22"/>
              </w:rPr>
              <w:t>Routine annual director equity compensation; 11,202 shares held</w:t>
            </w:r>
          </w:p>
        </w:tc>
      </w:tr>
    </w:tbl>
    <w:p>
      <w:r>
        <w:rPr>
          <w:rFonts w:ascii="Calibri" w:hAnsi="Calibri"/>
          <w:i/>
          <w:color w:val="525866"/>
          <w:sz w:val="22"/>
        </w:rPr>
        <w:t>Source: Insider Transaction Data (SEC Form 4 filings). Open-market transactions only (Form 4 codes P/S). Director compensation grants (code A) are included for completeness but are routine and non-discretionary.</w:t>
      </w:r>
    </w:p>
    <w:p>
      <w:r>
        <w:rPr>
          <w:rFonts w:ascii="Calibri" w:hAnsi="Calibri"/>
          <w:b/>
          <w:color w:val="525866"/>
          <w:sz w:val="22"/>
        </w:rPr>
        <w:t xml:space="preserve">Analysis: </w:t>
      </w:r>
      <w:r>
        <w:rPr>
          <w:rFonts w:ascii="Calibri" w:hAnsi="Calibri"/>
          <w:color w:val="525866"/>
          <w:sz w:val="22"/>
        </w:rPr>
        <w:t>The CEO's May 27 sale of 9,266 shares is the only discretionary transaction in the period. While the sale occurred at a relatively high price (~$218/share, near the post-Q1 high), the CEO retains a very large position of ~473,610 shares, representing the vast majority of his economic exposure to the stock. The sale is not indicative of a negative view on the business — it is more consistent with routine portfolio management or tax planning. No open-market buys were recorded in the period, which is neutral (no insider buying signal), but the absence of additional selling by other executives is a mild positive. No 10b5-1 plan initiations were disclosed in the period.</w:t>
      </w:r>
    </w:p>
    <w:p>
      <w:r>
        <w:rPr>
          <w:rFonts w:ascii="Calibri" w:hAnsi="Calibri"/>
          <w:b/>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