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Packaging Corporation of America (PKG)</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PKG</w:t>
            </w:r>
          </w:p>
        </w:tc>
      </w:tr>
      <w:tr>
        <w:tc>
          <w:tcPr>
            <w:tcW w:type="dxa" w:w="4320"/>
          </w:tcPr>
          <w:p>
            <w:r>
              <w:rPr>
                <w:rFonts w:ascii="Calibri" w:hAnsi="Calibri"/>
                <w:b/>
                <w:sz w:val="22"/>
              </w:rPr>
              <w:t>Upcoming Earnings Date</w:t>
            </w:r>
          </w:p>
        </w:tc>
        <w:tc>
          <w:tcPr>
            <w:tcW w:type="dxa" w:w="4320"/>
          </w:tcPr>
          <w:p>
            <w:r>
              <w:rPr>
                <w:rFonts w:ascii="Calibri" w:hAnsi="Calibri"/>
                <w:sz w:val="22"/>
              </w:rPr>
              <w:t>July 23, 2026 (9:00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 Date</w:t>
            </w:r>
          </w:p>
        </w:tc>
        <w:tc>
          <w:tcPr>
            <w:tcW w:type="dxa" w:w="4320"/>
          </w:tcPr>
          <w:p>
            <w:r>
              <w:rPr>
                <w:rFonts w:ascii="Calibri" w:hAnsi="Calibri"/>
                <w:sz w:val="22"/>
              </w:rPr>
              <w:t>April 22–23, 2026 (Q1 2026)</w:t>
            </w:r>
          </w:p>
        </w:tc>
      </w:tr>
      <w:tr>
        <w:tc>
          <w:tcPr>
            <w:tcW w:type="dxa" w:w="4320"/>
          </w:tcPr>
          <w:p>
            <w:r>
              <w:rPr>
                <w:rFonts w:ascii="Calibri" w:hAnsi="Calibri"/>
                <w:b/>
                <w:sz w:val="22"/>
              </w:rPr>
              <w:t>Preparation Date</w:t>
            </w:r>
          </w:p>
        </w:tc>
        <w:tc>
          <w:tcPr>
            <w:tcW w:type="dxa" w:w="4320"/>
          </w:tcPr>
          <w:p>
            <w:r>
              <w:rPr>
                <w:rFonts w:ascii="Calibri" w:hAnsi="Calibri"/>
                <w:sz w:val="22"/>
              </w:rPr>
              <w:t>July 21, 2026</w:t>
            </w:r>
          </w:p>
        </w:tc>
      </w:tr>
      <w:tr>
        <w:tc>
          <w:tcPr>
            <w:tcW w:type="dxa" w:w="4320"/>
          </w:tcPr>
          <w:p>
            <w:r>
              <w:rPr>
                <w:rFonts w:ascii="Calibri" w:hAnsi="Calibri"/>
                <w:b/>
                <w:sz w:val="22"/>
              </w:rPr>
              <w:t>Sector / Industry</w:t>
            </w:r>
          </w:p>
        </w:tc>
        <w:tc>
          <w:tcPr>
            <w:tcW w:type="dxa" w:w="4320"/>
          </w:tcPr>
          <w:p>
            <w:r>
              <w:rPr>
                <w:rFonts w:ascii="Calibri" w:hAnsi="Calibri"/>
                <w:sz w:val="22"/>
              </w:rPr>
              <w:t>Materials — Containers &amp; Packaging</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but nuanced — consensus EPS of ~$2.31 is a manageable bar given management's own $2.33 guide, but the real story is whether a strong June closes the freight/cost gap; the single biggest swing factor is Q2 price realization from the first $50/ton containerboard increase, which management confirmed begins flowing meaningfully only in June.</w:t>
      </w:r>
    </w:p>
    <w:p>
      <w:r>
        <w:rPr>
          <w:rFonts w:ascii="Calibri" w:hAnsi="Calibri"/>
          <w:color w:val="525866"/>
          <w:sz w:val="22"/>
        </w:rPr>
        <w:t xml:space="preserve">PKG heads into Q2 2026 earnings with a well-telegraphed but operationally complex quarter: management guided $2.33 EPS ex-items at the April call, then signaled at the June 10 Wells Fargo conference that they are "not managing to make the guidance" but that "a good June could help achieve it," leaving consensus at ~$2.31 — essentially in line with the guide. </w:t>
      </w:r>
      <w:r>
        <w:rPr>
          <w:rFonts w:ascii="Calibri" w:hAnsi="Calibri"/>
          <w:color w:val="525866"/>
          <w:sz w:val="22"/>
        </w:rPr>
        <w:t xml:space="preserve">The primary headwinds are freight (running $10–12M unfavorable to guidance for the quarter, driven by higher diesel, longer haul distances, and spot freight usage) and recycled fiber costs, partially offset by stronger-than-expected corrugated volumes (legacy shipments per day up ~4.5% in April and ~3.5% in May year-over-year) and operational efficiencies from running mills full. </w:t>
      </w:r>
      <w:r>
        <w:rPr>
          <w:rFonts w:ascii="Calibri" w:hAnsi="Calibri"/>
          <w:color w:val="525866"/>
          <w:sz w:val="22"/>
        </w:rPr>
        <w:t xml:space="preserve">The first $50/ton containerboard price increase is only beginning to be meaningfully recognized in corrugated in June, with substantially all remaining benefit deferred to Q3, making Q3 — not Q2 — the true earnings inflection quarter; </w:t>
      </w:r>
      <w:r>
        <w:rPr>
          <w:rFonts w:ascii="Calibri" w:hAnsi="Calibri"/>
          <w:color w:val="525866"/>
          <w:sz w:val="22"/>
        </w:rPr>
        <w:t xml:space="preserve">the stock has already moved ~11% since the Q1 print (from ~$205 to ~$228), suggesting the market is partially pricing in the Q3 setup rather than Q2 execution. </w:t>
      </w:r>
      <w:r>
        <w:rPr>
          <w:rFonts w:ascii="Calibri" w:hAnsi="Calibri"/>
          <w:color w:val="525866"/>
          <w:sz w:val="22"/>
        </w:rPr>
        <w:t>The key wildcard is June volume and price realization: a strong close to the quarter could allow PKG to meet or modestly beat the $2.33 guide, while any freight or demand softness in June risks a small miss — though either outcome is unlikely to change the bullish Q3/Q4 narrative that has driven the stock's re-rating.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low-to-fair bar at ~$2.31 EPS vs. management's own $2.33 guide; the bigger swing factor is corrugated volume and price realization, where strong April/May trends and the first $50/ton price increase beginning to flow in June could drive a modest beat, while freight cost overruns remain the primary downside risk.</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EPS — Diluted, Operating ($/share)</w:t>
            </w:r>
          </w:p>
        </w:tc>
        <w:tc>
          <w:tcPr>
            <w:tcW w:type="dxa" w:w="1234"/>
          </w:tcPr>
          <w:p>
            <w:r>
              <w:rPr>
                <w:rFonts w:ascii="Calibri" w:hAnsi="Calibri"/>
                <w:sz w:val="22"/>
              </w:rPr>
              <w:t>$2.40</w:t>
            </w:r>
          </w:p>
        </w:tc>
        <w:tc>
          <w:tcPr>
            <w:tcW w:type="dxa" w:w="1234"/>
          </w:tcPr>
          <w:p>
            <w:r>
              <w:rPr>
                <w:rFonts w:ascii="Calibri" w:hAnsi="Calibri"/>
                <w:sz w:val="22"/>
              </w:rPr>
              <w:t>$2.48</w:t>
            </w:r>
          </w:p>
        </w:tc>
        <w:tc>
          <w:tcPr>
            <w:tcW w:type="dxa" w:w="1234"/>
          </w:tcPr>
          <w:p>
            <w:r>
              <w:rPr>
                <w:rFonts w:ascii="Calibri" w:hAnsi="Calibri"/>
                <w:sz w:val="22"/>
              </w:rPr>
              <w:t>$2.31</w:t>
            </w:r>
          </w:p>
        </w:tc>
        <w:tc>
          <w:tcPr>
            <w:tcW w:type="dxa" w:w="1234"/>
          </w:tcPr>
          <w:p>
            <w:r>
              <w:rPr>
                <w:rFonts w:ascii="Calibri" w:hAnsi="Calibri"/>
                <w:sz w:val="22"/>
              </w:rPr>
              <w:t>−6.9% YoY</w:t>
            </w:r>
          </w:p>
        </w:tc>
        <w:tc>
          <w:tcPr>
            <w:tcW w:type="dxa" w:w="1234"/>
          </w:tcPr>
          <w:p>
            <w:r>
              <w:rPr>
                <w:rFonts w:ascii="Calibri" w:hAnsi="Calibri"/>
                <w:sz w:val="22"/>
              </w:rPr>
              <w:t>$2.33</w:t>
            </w:r>
          </w:p>
        </w:tc>
        <w:tc>
          <w:tcPr>
            <w:tcW w:type="dxa" w:w="1234"/>
          </w:tcPr>
          <w:p>
            <w:r>
              <w:rPr>
                <w:rFonts w:ascii="Calibri" w:hAnsi="Calibri"/>
                <w:sz w:val="22"/>
              </w:rPr>
              <w:t>−0.9% (slight discount to guide)</w:t>
            </w:r>
          </w:p>
        </w:tc>
      </w:tr>
      <w:tr>
        <w:tc>
          <w:tcPr>
            <w:tcW w:type="dxa" w:w="1234"/>
          </w:tcPr>
          <w:p>
            <w:r>
              <w:rPr>
                <w:rFonts w:ascii="Calibri" w:hAnsi="Calibri"/>
                <w:sz w:val="22"/>
              </w:rPr>
              <w:t>Net Sales ($M)</w:t>
            </w:r>
          </w:p>
        </w:tc>
        <w:tc>
          <w:tcPr>
            <w:tcW w:type="dxa" w:w="1234"/>
          </w:tcPr>
          <w:p>
            <w:r>
              <w:rPr>
                <w:rFonts w:ascii="Calibri" w:hAnsi="Calibri"/>
                <w:sz w:val="22"/>
              </w:rPr>
              <w:t>$2,367.8M</w:t>
            </w:r>
          </w:p>
        </w:tc>
        <w:tc>
          <w:tcPr>
            <w:tcW w:type="dxa" w:w="1234"/>
          </w:tcPr>
          <w:p>
            <w:r>
              <w:rPr>
                <w:rFonts w:ascii="Calibri" w:hAnsi="Calibri"/>
                <w:sz w:val="22"/>
              </w:rPr>
              <w:t>$2,171.3M</w:t>
            </w:r>
          </w:p>
        </w:tc>
        <w:tc>
          <w:tcPr>
            <w:tcW w:type="dxa" w:w="1234"/>
          </w:tcPr>
          <w:p>
            <w:r>
              <w:rPr>
                <w:rFonts w:ascii="Calibri" w:hAnsi="Calibri"/>
                <w:sz w:val="22"/>
              </w:rPr>
              <w:t>$2,501.6M</w:t>
            </w:r>
          </w:p>
        </w:tc>
        <w:tc>
          <w:tcPr>
            <w:tcW w:type="dxa" w:w="1234"/>
          </w:tcPr>
          <w:p>
            <w:r>
              <w:rPr>
                <w:rFonts w:ascii="Calibri" w:hAnsi="Calibri"/>
                <w:sz w:val="22"/>
              </w:rPr>
              <w:t>+15.2% YoY</w:t>
            </w:r>
          </w:p>
        </w:tc>
        <w:tc>
          <w:tcPr>
            <w:tcW w:type="dxa" w:w="1234"/>
          </w:tcPr>
          <w:p>
            <w:r>
              <w:rPr>
                <w:rFonts w:ascii="Calibri" w:hAnsi="Calibri"/>
                <w:sz w:val="22"/>
              </w:rPr>
              <w:t>N/A — not provided</w:t>
            </w:r>
          </w:p>
        </w:tc>
        <w:tc>
          <w:tcPr>
            <w:tcW w:type="dxa" w:w="1234"/>
          </w:tcPr>
          <w:p>
            <w:r>
              <w:rPr>
                <w:rFonts w:ascii="Calibri" w:hAnsi="Calibri"/>
                <w:sz w:val="22"/>
              </w:rPr>
              <w:t>N/A</w:t>
            </w:r>
          </w:p>
        </w:tc>
      </w:tr>
      <w:tr>
        <w:tc>
          <w:tcPr>
            <w:tcW w:type="dxa" w:w="1234"/>
          </w:tcPr>
          <w:p>
            <w:r>
              <w:rPr>
                <w:rFonts w:ascii="Calibri" w:hAnsi="Calibri"/>
                <w:sz w:val="22"/>
              </w:rPr>
              <w:t>EBITDA ($M)</w:t>
            </w:r>
          </w:p>
        </w:tc>
        <w:tc>
          <w:tcPr>
            <w:tcW w:type="dxa" w:w="1234"/>
          </w:tcPr>
          <w:p>
            <w:r>
              <w:rPr>
                <w:rFonts w:ascii="Calibri" w:hAnsi="Calibri"/>
                <w:sz w:val="22"/>
              </w:rPr>
              <w:t>$476.5M</w:t>
            </w:r>
          </w:p>
        </w:tc>
        <w:tc>
          <w:tcPr>
            <w:tcW w:type="dxa" w:w="1234"/>
          </w:tcPr>
          <w:p>
            <w:r>
              <w:rPr>
                <w:rFonts w:ascii="Calibri" w:hAnsi="Calibri"/>
                <w:sz w:val="22"/>
              </w:rPr>
              <w:t>$474.4M</w:t>
            </w:r>
          </w:p>
        </w:tc>
        <w:tc>
          <w:tcPr>
            <w:tcW w:type="dxa" w:w="1234"/>
          </w:tcPr>
          <w:p>
            <w:r>
              <w:rPr>
                <w:rFonts w:ascii="Calibri" w:hAnsi="Calibri"/>
                <w:sz w:val="22"/>
              </w:rPr>
              <w:t>$491.5M</w:t>
            </w:r>
          </w:p>
        </w:tc>
        <w:tc>
          <w:tcPr>
            <w:tcW w:type="dxa" w:w="1234"/>
          </w:tcPr>
          <w:p>
            <w:r>
              <w:rPr>
                <w:rFonts w:ascii="Calibri" w:hAnsi="Calibri"/>
                <w:sz w:val="22"/>
              </w:rPr>
              <w:t>+3.6% YoY</w:t>
            </w:r>
          </w:p>
        </w:tc>
        <w:tc>
          <w:tcPr>
            <w:tcW w:type="dxa" w:w="1234"/>
          </w:tcPr>
          <w:p>
            <w:r>
              <w:rPr>
                <w:rFonts w:ascii="Calibri" w:hAnsi="Calibri"/>
                <w:sz w:val="22"/>
              </w:rPr>
              <w:t>N/A — not provided</w:t>
            </w:r>
          </w:p>
        </w:tc>
        <w:tc>
          <w:tcPr>
            <w:tcW w:type="dxa" w:w="1234"/>
          </w:tcPr>
          <w:p>
            <w:r>
              <w:rPr>
                <w:rFonts w:ascii="Calibri" w:hAnsi="Calibri"/>
                <w:sz w:val="22"/>
              </w:rPr>
              <w:t>N/A</w:t>
            </w:r>
          </w:p>
        </w:tc>
      </w:tr>
      <w:tr>
        <w:tc>
          <w:tcPr>
            <w:tcW w:type="dxa" w:w="1234"/>
          </w:tcPr>
          <w:p>
            <w:r>
              <w:rPr>
                <w:rFonts w:ascii="Calibri" w:hAnsi="Calibri"/>
                <w:sz w:val="22"/>
              </w:rPr>
              <w:t>Corrugated Volume — Implied Box (Msq ft)</w:t>
            </w:r>
          </w:p>
        </w:tc>
        <w:tc>
          <w:tcPr>
            <w:tcW w:type="dxa" w:w="1234"/>
          </w:tcPr>
          <w:p>
            <w:r>
              <w:rPr>
                <w:rFonts w:ascii="Calibri" w:hAnsi="Calibri"/>
                <w:sz w:val="22"/>
              </w:rPr>
              <w:t>19,703.1 Msq ft</w:t>
            </w:r>
          </w:p>
        </w:tc>
        <w:tc>
          <w:tcPr>
            <w:tcW w:type="dxa" w:w="1234"/>
          </w:tcPr>
          <w:p>
            <w:r>
              <w:rPr>
                <w:rFonts w:ascii="Calibri" w:hAnsi="Calibri"/>
                <w:sz w:val="22"/>
              </w:rPr>
              <w:t>16,541.6 Msq ft</w:t>
            </w:r>
          </w:p>
        </w:tc>
        <w:tc>
          <w:tcPr>
            <w:tcW w:type="dxa" w:w="1234"/>
          </w:tcPr>
          <w:p>
            <w:r>
              <w:rPr>
                <w:rFonts w:ascii="Calibri" w:hAnsi="Calibri"/>
                <w:sz w:val="22"/>
              </w:rPr>
              <w:t>19,300.8 Msq ft</w:t>
            </w:r>
          </w:p>
        </w:tc>
        <w:tc>
          <w:tcPr>
            <w:tcW w:type="dxa" w:w="1234"/>
          </w:tcPr>
          <w:p>
            <w:r>
              <w:rPr>
                <w:rFonts w:ascii="Calibri" w:hAnsi="Calibri"/>
                <w:sz w:val="22"/>
              </w:rPr>
              <w:t>+16.7% YoY</w:t>
            </w:r>
          </w:p>
        </w:tc>
        <w:tc>
          <w:tcPr>
            <w:tcW w:type="dxa" w:w="1234"/>
          </w:tcPr>
          <w:p>
            <w:r>
              <w:rPr>
                <w:rFonts w:ascii="Calibri" w:hAnsi="Calibri"/>
                <w:sz w:val="22"/>
              </w:rPr>
              <w:t>Strong demand; legacy +4.5% Apr, +3.5% May YoY</w:t>
            </w:r>
          </w:p>
        </w:tc>
        <w:tc>
          <w:tcPr>
            <w:tcW w:type="dxa" w:w="1234"/>
          </w:tcPr>
          <w:p>
            <w:r>
              <w:rPr>
                <w:rFonts w:ascii="Calibri" w:hAnsi="Calibri"/>
                <w:sz w:val="22"/>
              </w:rPr>
              <w:t>−2.1% (consensus slightly below implied run-rate)</w:t>
            </w:r>
          </w:p>
        </w:tc>
      </w:tr>
      <w:tr>
        <w:tc>
          <w:tcPr>
            <w:tcW w:type="dxa" w:w="1234"/>
          </w:tcPr>
          <w:p>
            <w:r>
              <w:rPr>
                <w:rFonts w:ascii="Calibri" w:hAnsi="Calibri"/>
                <w:sz w:val="22"/>
              </w:rPr>
              <w:t>Price Impact — Packaging (%)</w:t>
            </w:r>
          </w:p>
        </w:tc>
        <w:tc>
          <w:tcPr>
            <w:tcW w:type="dxa" w:w="1234"/>
          </w:tcPr>
          <w:p>
            <w:r>
              <w:rPr>
                <w:rFonts w:ascii="Calibri" w:hAnsi="Calibri"/>
                <w:sz w:val="22"/>
              </w:rPr>
              <w:t>−0.7%</w:t>
            </w:r>
          </w:p>
        </w:tc>
        <w:tc>
          <w:tcPr>
            <w:tcW w:type="dxa" w:w="1234"/>
          </w:tcPr>
          <w:p>
            <w:r>
              <w:rPr>
                <w:rFonts w:ascii="Calibri" w:hAnsi="Calibri"/>
                <w:sz w:val="22"/>
              </w:rPr>
              <w:t>+12.7%</w:t>
            </w:r>
          </w:p>
        </w:tc>
        <w:tc>
          <w:tcPr>
            <w:tcW w:type="dxa" w:w="1234"/>
          </w:tcPr>
          <w:p>
            <w:r>
              <w:rPr>
                <w:rFonts w:ascii="Calibri" w:hAnsi="Calibri"/>
                <w:sz w:val="22"/>
              </w:rPr>
              <w:t>+2.5%</w:t>
            </w:r>
          </w:p>
        </w:tc>
        <w:tc>
          <w:tcPr>
            <w:tcW w:type="dxa" w:w="1234"/>
          </w:tcPr>
          <w:p>
            <w:r>
              <w:rPr>
                <w:rFonts w:ascii="Calibri" w:hAnsi="Calibri"/>
                <w:sz w:val="22"/>
              </w:rPr>
              <w:t>N/M (tough comp)</w:t>
            </w:r>
          </w:p>
        </w:tc>
        <w:tc>
          <w:tcPr>
            <w:tcW w:type="dxa" w:w="1234"/>
          </w:tcPr>
          <w:p>
            <w:r>
              <w:rPr>
                <w:rFonts w:ascii="Calibri" w:hAnsi="Calibri"/>
                <w:sz w:val="22"/>
              </w:rPr>
              <w:t>First $50/ton increase beginning in June; majority in Q3</w:t>
            </w:r>
          </w:p>
        </w:tc>
        <w:tc>
          <w:tcPr>
            <w:tcW w:type="dxa" w:w="1234"/>
          </w:tcPr>
          <w:p>
            <w:r>
              <w:rPr>
                <w:rFonts w:ascii="Calibri" w:hAnsi="Calibri"/>
                <w:sz w:val="22"/>
              </w:rPr>
              <w:t>Consensus below initial guide of ~4.0% (per April call)</w:t>
            </w:r>
          </w:p>
        </w:tc>
      </w:tr>
    </w:tbl>
    <w:p>
      <w:r>
        <w:rPr>
          <w:rFonts w:ascii="Calibri" w:hAnsi="Calibri"/>
          <w:b/>
          <w:color w:val="525866"/>
          <w:sz w:val="22"/>
        </w:rPr>
        <w:t xml:space="preserve">Sources: </w:t>
      </w:r>
      <w:r>
        <w:rPr>
          <w:rFonts w:ascii="Calibri" w:hAnsi="Calibri"/>
          <w:color w:val="525866"/>
          <w:sz w:val="22"/>
        </w:rPr>
        <w:t>EPS — Diluted Operating, Net Sales, EBITDA, Corrugated Volume, and Price Impact — Packaging from Visible Alpha Consensus and Actuals Data. Q2 2026 guidance of $2.33 EPS from PKG Q1 2026 Earnings Call (April 23, 2026). Legacy volume commentary from PKG Wells Fargo Conference (June 10,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EPS — Diluted, Operating ($/share)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$2.40</w:t>
            </w:r>
          </w:p>
        </w:tc>
        <w:tc>
          <w:tcPr>
            <w:tcW w:type="dxa" w:w="1728"/>
          </w:tcPr>
          <w:p>
            <w:r>
              <w:rPr>
                <w:rFonts w:ascii="Calibri" w:hAnsi="Calibri"/>
                <w:sz w:val="22"/>
              </w:rPr>
              <w:t>$2.13</w:t>
            </w:r>
          </w:p>
        </w:tc>
        <w:tc>
          <w:tcPr>
            <w:tcW w:type="dxa" w:w="1728"/>
          </w:tcPr>
          <w:p>
            <w:r>
              <w:rPr>
                <w:rFonts w:ascii="Calibri" w:hAnsi="Calibri"/>
                <w:b/>
                <w:color w:val="30A46C"/>
                <w:sz w:val="22"/>
              </w:rPr>
              <w:t>+12.7%</w:t>
            </w:r>
          </w:p>
        </w:tc>
        <w:tc>
          <w:tcPr>
            <w:tcW w:type="dxa" w:w="1728"/>
          </w:tcPr>
          <w:p>
            <w:r>
              <w:rPr>
                <w:rFonts w:ascii="Calibri" w:hAnsi="Calibri"/>
                <w:b/>
                <w:sz w:val="22"/>
              </w:rPr>
              <w:t>Beat</w:t>
            </w:r>
          </w:p>
        </w:tc>
      </w:tr>
      <w:tr>
        <w:tc>
          <w:tcPr>
            <w:tcW w:type="dxa" w:w="1728"/>
          </w:tcPr>
          <w:p>
            <w:r>
              <w:rPr>
                <w:rFonts w:ascii="Calibri" w:hAnsi="Calibri"/>
                <w:sz w:val="22"/>
              </w:rPr>
              <w:t>Q4 2025</w:t>
            </w:r>
          </w:p>
        </w:tc>
        <w:tc>
          <w:tcPr>
            <w:tcW w:type="dxa" w:w="1728"/>
          </w:tcPr>
          <w:p>
            <w:r>
              <w:rPr>
                <w:rFonts w:ascii="Calibri" w:hAnsi="Calibri"/>
                <w:sz w:val="22"/>
              </w:rPr>
              <w:t>$2.32</w:t>
            </w:r>
          </w:p>
        </w:tc>
        <w:tc>
          <w:tcPr>
            <w:tcW w:type="dxa" w:w="1728"/>
          </w:tcPr>
          <w:p>
            <w:r>
              <w:rPr>
                <w:rFonts w:ascii="Calibri" w:hAnsi="Calibri"/>
                <w:sz w:val="22"/>
              </w:rPr>
              <w:t>$2.40</w:t>
            </w:r>
          </w:p>
        </w:tc>
        <w:tc>
          <w:tcPr>
            <w:tcW w:type="dxa" w:w="1728"/>
          </w:tcPr>
          <w:p>
            <w:r>
              <w:rPr>
                <w:rFonts w:ascii="Calibri" w:hAnsi="Calibri"/>
                <w:b/>
                <w:color w:val="E5484D"/>
                <w:sz w:val="22"/>
              </w:rPr>
              <w:t>−3.3%</w:t>
            </w:r>
          </w:p>
        </w:tc>
        <w:tc>
          <w:tcPr>
            <w:tcW w:type="dxa" w:w="1728"/>
          </w:tcPr>
          <w:p>
            <w:r>
              <w:rPr>
                <w:rFonts w:ascii="Calibri" w:hAnsi="Calibri"/>
                <w:b/>
                <w:sz w:val="22"/>
              </w:rPr>
              <w:t>Miss</w:t>
            </w:r>
          </w:p>
        </w:tc>
      </w:tr>
      <w:tr>
        <w:tc>
          <w:tcPr>
            <w:tcW w:type="dxa" w:w="1728"/>
          </w:tcPr>
          <w:p>
            <w:r>
              <w:rPr>
                <w:rFonts w:ascii="Calibri" w:hAnsi="Calibri"/>
                <w:sz w:val="22"/>
              </w:rPr>
              <w:t>Q3 2025</w:t>
            </w:r>
          </w:p>
        </w:tc>
        <w:tc>
          <w:tcPr>
            <w:tcW w:type="dxa" w:w="1728"/>
          </w:tcPr>
          <w:p>
            <w:r>
              <w:rPr>
                <w:rFonts w:ascii="Calibri" w:hAnsi="Calibri"/>
                <w:sz w:val="22"/>
              </w:rPr>
              <w:t>$2.73</w:t>
            </w:r>
          </w:p>
        </w:tc>
        <w:tc>
          <w:tcPr>
            <w:tcW w:type="dxa" w:w="1728"/>
          </w:tcPr>
          <w:p>
            <w:r>
              <w:rPr>
                <w:rFonts w:ascii="Calibri" w:hAnsi="Calibri"/>
                <w:sz w:val="22"/>
              </w:rPr>
              <w:t>$2.81</w:t>
            </w:r>
          </w:p>
        </w:tc>
        <w:tc>
          <w:tcPr>
            <w:tcW w:type="dxa" w:w="1728"/>
          </w:tcPr>
          <w:p>
            <w:r>
              <w:rPr>
                <w:rFonts w:ascii="Calibri" w:hAnsi="Calibri"/>
                <w:b/>
                <w:color w:val="E5484D"/>
                <w:sz w:val="22"/>
              </w:rPr>
              <w:t>−2.8%</w:t>
            </w:r>
          </w:p>
        </w:tc>
        <w:tc>
          <w:tcPr>
            <w:tcW w:type="dxa" w:w="1728"/>
          </w:tcPr>
          <w:p>
            <w:r>
              <w:rPr>
                <w:rFonts w:ascii="Calibri" w:hAnsi="Calibri"/>
                <w:b/>
                <w:sz w:val="22"/>
              </w:rPr>
              <w:t>Miss</w:t>
            </w:r>
          </w:p>
        </w:tc>
      </w:tr>
      <w:tr>
        <w:tc>
          <w:tcPr>
            <w:tcW w:type="dxa" w:w="1728"/>
          </w:tcPr>
          <w:p>
            <w:r>
              <w:rPr>
                <w:rFonts w:ascii="Calibri" w:hAnsi="Calibri"/>
                <w:sz w:val="22"/>
              </w:rPr>
              <w:t>Q2 2025</w:t>
            </w:r>
          </w:p>
        </w:tc>
        <w:tc>
          <w:tcPr>
            <w:tcW w:type="dxa" w:w="1728"/>
          </w:tcPr>
          <w:p>
            <w:r>
              <w:rPr>
                <w:rFonts w:ascii="Calibri" w:hAnsi="Calibri"/>
                <w:sz w:val="22"/>
              </w:rPr>
              <w:t>$2.48</w:t>
            </w:r>
          </w:p>
        </w:tc>
        <w:tc>
          <w:tcPr>
            <w:tcW w:type="dxa" w:w="1728"/>
          </w:tcPr>
          <w:p>
            <w:r>
              <w:rPr>
                <w:rFonts w:ascii="Calibri" w:hAnsi="Calibri"/>
                <w:sz w:val="22"/>
              </w:rPr>
              <w:t>$2.44</w:t>
            </w:r>
          </w:p>
        </w:tc>
        <w:tc>
          <w:tcPr>
            <w:tcW w:type="dxa" w:w="1728"/>
          </w:tcPr>
          <w:p>
            <w:r>
              <w:rPr>
                <w:rFonts w:ascii="Calibri" w:hAnsi="Calibri"/>
                <w:b/>
                <w:color w:val="30A46C"/>
                <w:sz w:val="22"/>
              </w:rPr>
              <w:t>+1.6%</w:t>
            </w:r>
          </w:p>
        </w:tc>
        <w:tc>
          <w:tcPr>
            <w:tcW w:type="dxa" w:w="1728"/>
          </w:tcPr>
          <w:p>
            <w:r>
              <w:rPr>
                <w:rFonts w:ascii="Calibri" w:hAnsi="Calibri"/>
                <w:b/>
                <w:sz w:val="22"/>
              </w:rPr>
              <w:t>Beat</w:t>
            </w:r>
          </w:p>
        </w:tc>
      </w:tr>
      <w:tr>
        <w:tc>
          <w:tcPr>
            <w:tcW w:type="dxa" w:w="1728"/>
          </w:tcPr>
          <w:p>
            <w:r>
              <w:rPr>
                <w:rFonts w:ascii="Calibri" w:hAnsi="Calibri"/>
                <w:sz w:val="22"/>
              </w:rPr>
              <w:t>Q1 2025</w:t>
            </w:r>
          </w:p>
        </w:tc>
        <w:tc>
          <w:tcPr>
            <w:tcW w:type="dxa" w:w="1728"/>
          </w:tcPr>
          <w:p>
            <w:r>
              <w:rPr>
                <w:rFonts w:ascii="Calibri" w:hAnsi="Calibri"/>
                <w:sz w:val="22"/>
              </w:rPr>
              <w:t>$2.31</w:t>
            </w:r>
          </w:p>
        </w:tc>
        <w:tc>
          <w:tcPr>
            <w:tcW w:type="dxa" w:w="1728"/>
          </w:tcPr>
          <w:p>
            <w:r>
              <w:rPr>
                <w:rFonts w:ascii="Calibri" w:hAnsi="Calibri"/>
                <w:sz w:val="22"/>
              </w:rPr>
              <w:t>$2.21</w:t>
            </w:r>
          </w:p>
        </w:tc>
        <w:tc>
          <w:tcPr>
            <w:tcW w:type="dxa" w:w="1728"/>
          </w:tcPr>
          <w:p>
            <w:r>
              <w:rPr>
                <w:rFonts w:ascii="Calibri" w:hAnsi="Calibri"/>
                <w:b/>
                <w:color w:val="30A46C"/>
                <w:sz w:val="22"/>
              </w:rPr>
              <w:t>+4.5%</w:t>
            </w:r>
          </w:p>
        </w:tc>
        <w:tc>
          <w:tcPr>
            <w:tcW w:type="dxa" w:w="1728"/>
          </w:tcPr>
          <w:p>
            <w:r>
              <w:rPr>
                <w:rFonts w:ascii="Calibri" w:hAnsi="Calibri"/>
                <w:b/>
                <w:sz w:val="22"/>
              </w:rPr>
              <w:t>Beat</w:t>
            </w:r>
          </w:p>
        </w:tc>
      </w:tr>
      <w:tr>
        <w:tc>
          <w:tcPr>
            <w:tcW w:type="dxa" w:w="1728"/>
          </w:tcPr>
          <w:p>
            <w:r>
              <w:rPr>
                <w:rFonts w:ascii="Calibri" w:hAnsi="Calibri"/>
                <w:sz w:val="22"/>
              </w:rPr>
              <w:t>Q4 2024</w:t>
            </w:r>
          </w:p>
        </w:tc>
        <w:tc>
          <w:tcPr>
            <w:tcW w:type="dxa" w:w="1728"/>
          </w:tcPr>
          <w:p>
            <w:r>
              <w:rPr>
                <w:rFonts w:ascii="Calibri" w:hAnsi="Calibri"/>
                <w:sz w:val="22"/>
              </w:rPr>
              <w:t>$2.47</w:t>
            </w:r>
          </w:p>
        </w:tc>
        <w:tc>
          <w:tcPr>
            <w:tcW w:type="dxa" w:w="1728"/>
          </w:tcPr>
          <w:p>
            <w:r>
              <w:rPr>
                <w:rFonts w:ascii="Calibri" w:hAnsi="Calibri"/>
                <w:sz w:val="22"/>
              </w:rPr>
              <w:t>$2.55</w:t>
            </w:r>
          </w:p>
        </w:tc>
        <w:tc>
          <w:tcPr>
            <w:tcW w:type="dxa" w:w="1728"/>
          </w:tcPr>
          <w:p>
            <w:r>
              <w:rPr>
                <w:rFonts w:ascii="Calibri" w:hAnsi="Calibri"/>
                <w:b/>
                <w:color w:val="E5484D"/>
                <w:sz w:val="22"/>
              </w:rPr>
              <w:t>−3.1%</w:t>
            </w:r>
          </w:p>
        </w:tc>
        <w:tc>
          <w:tcPr>
            <w:tcW w:type="dxa" w:w="1728"/>
          </w:tcPr>
          <w:p>
            <w:r>
              <w:rPr>
                <w:rFonts w:ascii="Calibri" w:hAnsi="Calibri"/>
                <w:b/>
                <w:sz w:val="22"/>
              </w:rPr>
              <w:t>Miss</w:t>
            </w:r>
          </w:p>
        </w:tc>
      </w:tr>
      <w:tr>
        <w:tc>
          <w:tcPr>
            <w:tcW w:type="dxa" w:w="1728"/>
          </w:tcPr>
          <w:p>
            <w:r>
              <w:rPr>
                <w:rFonts w:ascii="Calibri" w:hAnsi="Calibri"/>
                <w:sz w:val="22"/>
              </w:rPr>
              <w:t>Q3 2024</w:t>
            </w:r>
          </w:p>
        </w:tc>
        <w:tc>
          <w:tcPr>
            <w:tcW w:type="dxa" w:w="1728"/>
          </w:tcPr>
          <w:p>
            <w:r>
              <w:rPr>
                <w:rFonts w:ascii="Calibri" w:hAnsi="Calibri"/>
                <w:sz w:val="22"/>
              </w:rPr>
              <w:t>$2.65</w:t>
            </w:r>
          </w:p>
        </w:tc>
        <w:tc>
          <w:tcPr>
            <w:tcW w:type="dxa" w:w="1728"/>
          </w:tcPr>
          <w:p>
            <w:r>
              <w:rPr>
                <w:rFonts w:ascii="Calibri" w:hAnsi="Calibri"/>
                <w:sz w:val="22"/>
              </w:rPr>
              <w:t>$2.50</w:t>
            </w:r>
          </w:p>
        </w:tc>
        <w:tc>
          <w:tcPr>
            <w:tcW w:type="dxa" w:w="1728"/>
          </w:tcPr>
          <w:p>
            <w:r>
              <w:rPr>
                <w:rFonts w:ascii="Calibri" w:hAnsi="Calibri"/>
                <w:b/>
                <w:color w:val="30A46C"/>
                <w:sz w:val="22"/>
              </w:rPr>
              <w:t>+6.0%</w:t>
            </w:r>
          </w:p>
        </w:tc>
        <w:tc>
          <w:tcPr>
            <w:tcW w:type="dxa" w:w="1728"/>
          </w:tcPr>
          <w:p>
            <w:r>
              <w:rPr>
                <w:rFonts w:ascii="Calibri" w:hAnsi="Calibri"/>
                <w:b/>
                <w:sz w:val="22"/>
              </w:rPr>
              <w:t>Beat</w:t>
            </w:r>
          </w:p>
        </w:tc>
      </w:tr>
      <w:tr>
        <w:tc>
          <w:tcPr>
            <w:tcW w:type="dxa" w:w="1728"/>
          </w:tcPr>
          <w:p>
            <w:r>
              <w:rPr>
                <w:rFonts w:ascii="Calibri" w:hAnsi="Calibri"/>
                <w:sz w:val="22"/>
              </w:rPr>
              <w:t>Q2 2024</w:t>
            </w:r>
          </w:p>
        </w:tc>
        <w:tc>
          <w:tcPr>
            <w:tcW w:type="dxa" w:w="1728"/>
          </w:tcPr>
          <w:p>
            <w:r>
              <w:rPr>
                <w:rFonts w:ascii="Calibri" w:hAnsi="Calibri"/>
                <w:sz w:val="22"/>
              </w:rPr>
              <w:t>N/A — pre-Greif acq.</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KPI 2: Net Sales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$2,367.8</w:t>
            </w:r>
          </w:p>
        </w:tc>
        <w:tc>
          <w:tcPr>
            <w:tcW w:type="dxa" w:w="1728"/>
          </w:tcPr>
          <w:p>
            <w:r>
              <w:rPr>
                <w:rFonts w:ascii="Calibri" w:hAnsi="Calibri"/>
                <w:sz w:val="22"/>
              </w:rPr>
              <w:t>$2,416.9</w:t>
            </w:r>
          </w:p>
        </w:tc>
        <w:tc>
          <w:tcPr>
            <w:tcW w:type="dxa" w:w="1728"/>
          </w:tcPr>
          <w:p>
            <w:r>
              <w:rPr>
                <w:rFonts w:ascii="Calibri" w:hAnsi="Calibri"/>
                <w:b/>
                <w:color w:val="E5484D"/>
                <w:sz w:val="22"/>
              </w:rPr>
              <w:t>−2.0%</w:t>
            </w:r>
          </w:p>
        </w:tc>
        <w:tc>
          <w:tcPr>
            <w:tcW w:type="dxa" w:w="1728"/>
          </w:tcPr>
          <w:p>
            <w:r>
              <w:rPr>
                <w:rFonts w:ascii="Calibri" w:hAnsi="Calibri"/>
                <w:b/>
                <w:sz w:val="22"/>
              </w:rPr>
              <w:t>Miss</w:t>
            </w:r>
          </w:p>
        </w:tc>
      </w:tr>
      <w:tr>
        <w:tc>
          <w:tcPr>
            <w:tcW w:type="dxa" w:w="1728"/>
          </w:tcPr>
          <w:p>
            <w:r>
              <w:rPr>
                <w:rFonts w:ascii="Calibri" w:hAnsi="Calibri"/>
                <w:sz w:val="22"/>
              </w:rPr>
              <w:t>Q4 2025</w:t>
            </w:r>
          </w:p>
        </w:tc>
        <w:tc>
          <w:tcPr>
            <w:tcW w:type="dxa" w:w="1728"/>
          </w:tcPr>
          <w:p>
            <w:r>
              <w:rPr>
                <w:rFonts w:ascii="Calibri" w:hAnsi="Calibri"/>
                <w:sz w:val="22"/>
              </w:rPr>
              <w:t>$2,363.6</w:t>
            </w:r>
          </w:p>
        </w:tc>
        <w:tc>
          <w:tcPr>
            <w:tcW w:type="dxa" w:w="1728"/>
          </w:tcPr>
          <w:p>
            <w:r>
              <w:rPr>
                <w:rFonts w:ascii="Calibri" w:hAnsi="Calibri"/>
                <w:sz w:val="22"/>
              </w:rPr>
              <w:t>$2,435.0</w:t>
            </w:r>
          </w:p>
        </w:tc>
        <w:tc>
          <w:tcPr>
            <w:tcW w:type="dxa" w:w="1728"/>
          </w:tcPr>
          <w:p>
            <w:r>
              <w:rPr>
                <w:rFonts w:ascii="Calibri" w:hAnsi="Calibri"/>
                <w:b/>
                <w:color w:val="E5484D"/>
                <w:sz w:val="22"/>
              </w:rPr>
              <w:t>−2.9%</w:t>
            </w:r>
          </w:p>
        </w:tc>
        <w:tc>
          <w:tcPr>
            <w:tcW w:type="dxa" w:w="1728"/>
          </w:tcPr>
          <w:p>
            <w:r>
              <w:rPr>
                <w:rFonts w:ascii="Calibri" w:hAnsi="Calibri"/>
                <w:b/>
                <w:sz w:val="22"/>
              </w:rPr>
              <w:t>Miss</w:t>
            </w:r>
          </w:p>
        </w:tc>
      </w:tr>
      <w:tr>
        <w:tc>
          <w:tcPr>
            <w:tcW w:type="dxa" w:w="1728"/>
          </w:tcPr>
          <w:p>
            <w:r>
              <w:rPr>
                <w:rFonts w:ascii="Calibri" w:hAnsi="Calibri"/>
                <w:sz w:val="22"/>
              </w:rPr>
              <w:t>Q3 2025</w:t>
            </w:r>
          </w:p>
        </w:tc>
        <w:tc>
          <w:tcPr>
            <w:tcW w:type="dxa" w:w="1728"/>
          </w:tcPr>
          <w:p>
            <w:r>
              <w:rPr>
                <w:rFonts w:ascii="Calibri" w:hAnsi="Calibri"/>
                <w:sz w:val="22"/>
              </w:rPr>
              <w:t>$2,313.4</w:t>
            </w:r>
          </w:p>
        </w:tc>
        <w:tc>
          <w:tcPr>
            <w:tcW w:type="dxa" w:w="1728"/>
          </w:tcPr>
          <w:p>
            <w:r>
              <w:rPr>
                <w:rFonts w:ascii="Calibri" w:hAnsi="Calibri"/>
                <w:sz w:val="22"/>
              </w:rPr>
              <w:t>$2,314.9</w:t>
            </w:r>
          </w:p>
        </w:tc>
        <w:tc>
          <w:tcPr>
            <w:tcW w:type="dxa" w:w="1728"/>
          </w:tcPr>
          <w:p>
            <w:r>
              <w:rPr>
                <w:rFonts w:ascii="Calibri" w:hAnsi="Calibri"/>
                <w:b/>
                <w:color w:val="E5484D"/>
                <w:sz w:val="22"/>
              </w:rPr>
              <w:t>−0.1%</w:t>
            </w:r>
          </w:p>
        </w:tc>
        <w:tc>
          <w:tcPr>
            <w:tcW w:type="dxa" w:w="1728"/>
          </w:tcPr>
          <w:p>
            <w:r>
              <w:rPr>
                <w:rFonts w:ascii="Calibri" w:hAnsi="Calibri"/>
                <w:b/>
                <w:sz w:val="22"/>
              </w:rPr>
              <w:t>In Line</w:t>
            </w:r>
          </w:p>
        </w:tc>
      </w:tr>
      <w:tr>
        <w:tc>
          <w:tcPr>
            <w:tcW w:type="dxa" w:w="1728"/>
          </w:tcPr>
          <w:p>
            <w:r>
              <w:rPr>
                <w:rFonts w:ascii="Calibri" w:hAnsi="Calibri"/>
                <w:sz w:val="22"/>
              </w:rPr>
              <w:t>Q2 2025</w:t>
            </w:r>
          </w:p>
        </w:tc>
        <w:tc>
          <w:tcPr>
            <w:tcW w:type="dxa" w:w="1728"/>
          </w:tcPr>
          <w:p>
            <w:r>
              <w:rPr>
                <w:rFonts w:ascii="Calibri" w:hAnsi="Calibri"/>
                <w:sz w:val="22"/>
              </w:rPr>
              <w:t>$2,171.3</w:t>
            </w:r>
          </w:p>
        </w:tc>
        <w:tc>
          <w:tcPr>
            <w:tcW w:type="dxa" w:w="1728"/>
          </w:tcPr>
          <w:p>
            <w:r>
              <w:rPr>
                <w:rFonts w:ascii="Calibri" w:hAnsi="Calibri"/>
                <w:sz w:val="22"/>
              </w:rPr>
              <w:t>$2,189.6</w:t>
            </w:r>
          </w:p>
        </w:tc>
        <w:tc>
          <w:tcPr>
            <w:tcW w:type="dxa" w:w="1728"/>
          </w:tcPr>
          <w:p>
            <w:r>
              <w:rPr>
                <w:rFonts w:ascii="Calibri" w:hAnsi="Calibri"/>
                <w:b/>
                <w:color w:val="E5484D"/>
                <w:sz w:val="22"/>
              </w:rPr>
              <w:t>−0.8%</w:t>
            </w:r>
          </w:p>
        </w:tc>
        <w:tc>
          <w:tcPr>
            <w:tcW w:type="dxa" w:w="1728"/>
          </w:tcPr>
          <w:p>
            <w:r>
              <w:rPr>
                <w:rFonts w:ascii="Calibri" w:hAnsi="Calibri"/>
                <w:b/>
                <w:sz w:val="22"/>
              </w:rPr>
              <w:t>Miss</w:t>
            </w:r>
          </w:p>
        </w:tc>
      </w:tr>
      <w:tr>
        <w:tc>
          <w:tcPr>
            <w:tcW w:type="dxa" w:w="1728"/>
          </w:tcPr>
          <w:p>
            <w:r>
              <w:rPr>
                <w:rFonts w:ascii="Calibri" w:hAnsi="Calibri"/>
                <w:sz w:val="22"/>
              </w:rPr>
              <w:t>Q1 2025</w:t>
            </w:r>
          </w:p>
        </w:tc>
        <w:tc>
          <w:tcPr>
            <w:tcW w:type="dxa" w:w="1728"/>
          </w:tcPr>
          <w:p>
            <w:r>
              <w:rPr>
                <w:rFonts w:ascii="Calibri" w:hAnsi="Calibri"/>
                <w:sz w:val="22"/>
              </w:rPr>
              <w:t>$2,141.0</w:t>
            </w:r>
          </w:p>
        </w:tc>
        <w:tc>
          <w:tcPr>
            <w:tcW w:type="dxa" w:w="1728"/>
          </w:tcPr>
          <w:p>
            <w:r>
              <w:rPr>
                <w:rFonts w:ascii="Calibri" w:hAnsi="Calibri"/>
                <w:sz w:val="22"/>
              </w:rPr>
              <w:t>$2,108.4</w:t>
            </w:r>
          </w:p>
        </w:tc>
        <w:tc>
          <w:tcPr>
            <w:tcW w:type="dxa" w:w="1728"/>
          </w:tcPr>
          <w:p>
            <w:r>
              <w:rPr>
                <w:rFonts w:ascii="Calibri" w:hAnsi="Calibri"/>
                <w:b/>
                <w:color w:val="30A46C"/>
                <w:sz w:val="22"/>
              </w:rPr>
              <w:t>+1.5%</w:t>
            </w:r>
          </w:p>
        </w:tc>
        <w:tc>
          <w:tcPr>
            <w:tcW w:type="dxa" w:w="1728"/>
          </w:tcPr>
          <w:p>
            <w:r>
              <w:rPr>
                <w:rFonts w:ascii="Calibri" w:hAnsi="Calibri"/>
                <w:b/>
                <w:sz w:val="22"/>
              </w:rPr>
              <w:t>Beat</w:t>
            </w:r>
          </w:p>
        </w:tc>
      </w:tr>
      <w:tr>
        <w:tc>
          <w:tcPr>
            <w:tcW w:type="dxa" w:w="1728"/>
          </w:tcPr>
          <w:p>
            <w:r>
              <w:rPr>
                <w:rFonts w:ascii="Calibri" w:hAnsi="Calibri"/>
                <w:sz w:val="22"/>
              </w:rPr>
              <w:t>Q4 2024</w:t>
            </w:r>
          </w:p>
        </w:tc>
        <w:tc>
          <w:tcPr>
            <w:tcW w:type="dxa" w:w="1728"/>
          </w:tcPr>
          <w:p>
            <w:r>
              <w:rPr>
                <w:rFonts w:ascii="Calibri" w:hAnsi="Calibri"/>
                <w:sz w:val="22"/>
              </w:rPr>
              <w:t>$2,146.1</w:t>
            </w:r>
          </w:p>
        </w:tc>
        <w:tc>
          <w:tcPr>
            <w:tcW w:type="dxa" w:w="1728"/>
          </w:tcPr>
          <w:p>
            <w:r>
              <w:rPr>
                <w:rFonts w:ascii="Calibri" w:hAnsi="Calibri"/>
                <w:sz w:val="22"/>
              </w:rPr>
              <w:t>$2,134.4</w:t>
            </w:r>
          </w:p>
        </w:tc>
        <w:tc>
          <w:tcPr>
            <w:tcW w:type="dxa" w:w="1728"/>
          </w:tcPr>
          <w:p>
            <w:r>
              <w:rPr>
                <w:rFonts w:ascii="Calibri" w:hAnsi="Calibri"/>
                <w:b/>
                <w:color w:val="30A46C"/>
                <w:sz w:val="22"/>
              </w:rPr>
              <w:t>+0.5%</w:t>
            </w:r>
          </w:p>
        </w:tc>
        <w:tc>
          <w:tcPr>
            <w:tcW w:type="dxa" w:w="1728"/>
          </w:tcPr>
          <w:p>
            <w:r>
              <w:rPr>
                <w:rFonts w:ascii="Calibri" w:hAnsi="Calibri"/>
                <w:b/>
                <w:sz w:val="22"/>
              </w:rPr>
              <w:t>Beat</w:t>
            </w:r>
          </w:p>
        </w:tc>
      </w:tr>
      <w:tr>
        <w:tc>
          <w:tcPr>
            <w:tcW w:type="dxa" w:w="1728"/>
          </w:tcPr>
          <w:p>
            <w:r>
              <w:rPr>
                <w:rFonts w:ascii="Calibri" w:hAnsi="Calibri"/>
                <w:sz w:val="22"/>
              </w:rPr>
              <w:t>Q3 2024</w:t>
            </w:r>
          </w:p>
        </w:tc>
        <w:tc>
          <w:tcPr>
            <w:tcW w:type="dxa" w:w="1728"/>
          </w:tcPr>
          <w:p>
            <w:r>
              <w:rPr>
                <w:rFonts w:ascii="Calibri" w:hAnsi="Calibri"/>
                <w:sz w:val="22"/>
              </w:rPr>
              <w:t>$2,182.4</w:t>
            </w:r>
          </w:p>
        </w:tc>
        <w:tc>
          <w:tcPr>
            <w:tcW w:type="dxa" w:w="1728"/>
          </w:tcPr>
          <w:p>
            <w:r>
              <w:rPr>
                <w:rFonts w:ascii="Calibri" w:hAnsi="Calibri"/>
                <w:sz w:val="22"/>
              </w:rPr>
              <w:t>$2,094.8</w:t>
            </w:r>
          </w:p>
        </w:tc>
        <w:tc>
          <w:tcPr>
            <w:tcW w:type="dxa" w:w="1728"/>
          </w:tcPr>
          <w:p>
            <w:r>
              <w:rPr>
                <w:rFonts w:ascii="Calibri" w:hAnsi="Calibri"/>
                <w:b/>
                <w:color w:val="30A46C"/>
                <w:sz w:val="22"/>
              </w:rPr>
              <w:t>+4.2%</w:t>
            </w:r>
          </w:p>
        </w:tc>
        <w:tc>
          <w:tcPr>
            <w:tcW w:type="dxa" w:w="1728"/>
          </w:tcPr>
          <w:p>
            <w:r>
              <w:rPr>
                <w:rFonts w:ascii="Calibri" w:hAnsi="Calibri"/>
                <w:b/>
                <w:sz w:val="22"/>
              </w:rPr>
              <w:t>Beat</w:t>
            </w:r>
          </w:p>
        </w:tc>
      </w:tr>
      <w:tr>
        <w:tc>
          <w:tcPr>
            <w:tcW w:type="dxa" w:w="1728"/>
          </w:tcPr>
          <w:p>
            <w:r>
              <w:rPr>
                <w:rFonts w:ascii="Calibri" w:hAnsi="Calibri"/>
                <w:sz w:val="22"/>
              </w:rPr>
              <w:t>Q2 2024</w:t>
            </w:r>
          </w:p>
        </w:tc>
        <w:tc>
          <w:tcPr>
            <w:tcW w:type="dxa" w:w="1728"/>
          </w:tcPr>
          <w:p>
            <w:r>
              <w:rPr>
                <w:rFonts w:ascii="Calibri" w:hAnsi="Calibri"/>
                <w:sz w:val="22"/>
              </w:rPr>
              <w:t>N/A — pre-Greif acq.</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PKG has beaten EPS consensus in 4 of the last 7 comparable quarters, with the largest beat in Q1 2026 (+12.7%) driven by operational outperformance; revenue has more consistently missed consensus (5 of 7 quarters), reflecting the difficulty of forecasting the Greif-enlarged revenue base, though EPS beats have been driven by cost discipline and operational efficiency rather than top-line upside.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Q2 guidance of $2.33 EPS (set at the April 23 earnings call) has not been formally revised, but the June 10 Wells Fargo conference introduced a meaningful caveat — PKG is "not managing to make the guidance" but a "good June could help achieve it" — effectively signaling downside risk to the guide while preserving optionality; tone on Q3 and the full year has become more confident.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(April 23, 2026 Earnings Call)</w:t>
            </w:r>
          </w:p>
        </w:tc>
        <w:tc>
          <w:tcPr>
            <w:tcW w:type="dxa" w:w="1728"/>
            <w:shd w:val="clear" w:color="auto" w:fill="3B4259"/>
          </w:tcPr>
          <w:p>
            <w:r>
              <w:rPr>
                <w:rFonts w:ascii="Calibri" w:hAnsi="Calibri"/>
                <w:b/>
                <w:color w:val="FFFFFF"/>
                <w:sz w:val="22"/>
              </w:rPr>
              <w:t>Revised Guidance / Post-Earnings Update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EPS (ex-items)</w:t>
            </w:r>
          </w:p>
        </w:tc>
        <w:tc>
          <w:tcPr>
            <w:tcW w:type="dxa" w:w="1728"/>
          </w:tcPr>
          <w:p>
            <w:r>
              <w:rPr>
                <w:rFonts w:ascii="Calibri" w:hAnsi="Calibri"/>
                <w:sz w:val="22"/>
              </w:rPr>
              <w:t>$2.33</w:t>
            </w:r>
          </w:p>
        </w:tc>
        <w:tc>
          <w:tcPr>
            <w:tcW w:type="dxa" w:w="1728"/>
          </w:tcPr>
          <w:p>
            <w:r>
              <w:rPr>
                <w:rFonts w:ascii="Calibri" w:hAnsi="Calibri"/>
                <w:sz w:val="22"/>
              </w:rPr>
              <w:t>Soft downward signal at June 10 Wells Fargo conference: "not managing to make the guidance" but "a good June could help achieve it"</w:t>
            </w:r>
          </w:p>
        </w:tc>
        <w:tc>
          <w:tcPr>
            <w:tcW w:type="dxa" w:w="1728"/>
          </w:tcPr>
          <w:p>
            <w:r>
              <w:rPr>
                <w:rFonts w:ascii="Calibri" w:hAnsi="Calibri"/>
                <w:sz w:val="22"/>
              </w:rPr>
              <w:t>$2.31</w:t>
            </w:r>
          </w:p>
        </w:tc>
        <w:tc>
          <w:tcPr>
            <w:tcW w:type="dxa" w:w="1728"/>
          </w:tcPr>
          <w:p>
            <w:r>
              <w:rPr>
                <w:rFonts w:ascii="Calibri" w:hAnsi="Calibri"/>
                <w:sz w:val="22"/>
              </w:rPr>
              <w:t>↓ Soft verbal caution at WFC June 10; no formal 8-K revision; freight $10–12M unfavorable to guide; consensus already slightly below guide</w:t>
            </w:r>
          </w:p>
        </w:tc>
      </w:tr>
      <w:tr>
        <w:tc>
          <w:tcPr>
            <w:tcW w:type="dxa" w:w="1728"/>
          </w:tcPr>
          <w:p>
            <w:r>
              <w:rPr>
                <w:rFonts w:ascii="Calibri" w:hAnsi="Calibri"/>
                <w:sz w:val="22"/>
              </w:rPr>
              <w:t>Q2 2026 Outage Expense</w:t>
            </w:r>
          </w:p>
        </w:tc>
        <w:tc>
          <w:tcPr>
            <w:tcW w:type="dxa" w:w="1728"/>
          </w:tcPr>
          <w:p>
            <w:r>
              <w:rPr>
                <w:rFonts w:ascii="Calibri" w:hAnsi="Calibri"/>
                <w:sz w:val="22"/>
              </w:rPr>
              <w:t>$0.36/share (5 packaging mills)</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Largest single-quarter outage burden of the year; Counce &amp; Jackson completed in April; Tomahawk, Filer City, Wallula in Q2</w:t>
            </w:r>
          </w:p>
        </w:tc>
      </w:tr>
      <w:tr>
        <w:tc>
          <w:tcPr>
            <w:tcW w:type="dxa" w:w="1728"/>
          </w:tcPr>
          <w:p>
            <w:r>
              <w:rPr>
                <w:rFonts w:ascii="Calibri" w:hAnsi="Calibri"/>
                <w:sz w:val="22"/>
              </w:rPr>
              <w:t>Full-Year 2026 Outage Expense</w:t>
            </w:r>
          </w:p>
        </w:tc>
        <w:tc>
          <w:tcPr>
            <w:tcW w:type="dxa" w:w="1728"/>
          </w:tcPr>
          <w:p>
            <w:r>
              <w:rPr>
                <w:rFonts w:ascii="Calibri" w:hAnsi="Calibri"/>
                <w:sz w:val="22"/>
              </w:rPr>
              <w:t>$1.44/share total ($0.14 Q1, $0.36 Q2, $0.31 Q3, $0.64 Q4)</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Heavy Q4 weighting; Q3 outage expense expected to decline from Q2 levels</w:t>
            </w:r>
          </w:p>
        </w:tc>
      </w:tr>
      <w:tr>
        <w:tc>
          <w:tcPr>
            <w:tcW w:type="dxa" w:w="1728"/>
          </w:tcPr>
          <w:p>
            <w:r>
              <w:rPr>
                <w:rFonts w:ascii="Calibri" w:hAnsi="Calibri"/>
                <w:sz w:val="22"/>
              </w:rPr>
              <w:t>Full-Year 2026 CapEx</w:t>
            </w:r>
          </w:p>
        </w:tc>
        <w:tc>
          <w:tcPr>
            <w:tcW w:type="dxa" w:w="1728"/>
          </w:tcPr>
          <w:p>
            <w:r>
              <w:rPr>
                <w:rFonts w:ascii="Calibri" w:hAnsi="Calibri"/>
                <w:sz w:val="22"/>
              </w:rPr>
              <w:t>$840M–$870M</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Includes gas turbine projects at Riverville (VA), Jackson (AL), DeRidder (LA) mills for energy independence</w:t>
            </w:r>
          </w:p>
        </w:tc>
      </w:tr>
      <w:tr>
        <w:tc>
          <w:tcPr>
            <w:tcW w:type="dxa" w:w="1728"/>
          </w:tcPr>
          <w:p>
            <w:r>
              <w:rPr>
                <w:rFonts w:ascii="Calibri" w:hAnsi="Calibri"/>
                <w:sz w:val="22"/>
              </w:rPr>
              <w:t>Full-Year 2026 DD&amp;A</w:t>
            </w:r>
          </w:p>
        </w:tc>
        <w:tc>
          <w:tcPr>
            <w:tcW w:type="dxa" w:w="1728"/>
          </w:tcPr>
          <w:p>
            <w:r>
              <w:rPr>
                <w:rFonts w:ascii="Calibri" w:hAnsi="Calibri"/>
                <w:sz w:val="22"/>
              </w:rPr>
              <w:t>$700M</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DD&amp;A expected ~$0.03 higher Q1 to Q2</w:t>
            </w:r>
          </w:p>
        </w:tc>
      </w:tr>
      <w:tr>
        <w:tc>
          <w:tcPr>
            <w:tcW w:type="dxa" w:w="1728"/>
          </w:tcPr>
          <w:p>
            <w:r>
              <w:rPr>
                <w:rFonts w:ascii="Calibri" w:hAnsi="Calibri"/>
                <w:sz w:val="22"/>
              </w:rPr>
              <w:t>Q2 2026 Tax Rate</w:t>
            </w:r>
          </w:p>
        </w:tc>
        <w:tc>
          <w:tcPr>
            <w:tcW w:type="dxa" w:w="1728"/>
          </w:tcPr>
          <w:p>
            <w:r>
              <w:rPr>
                <w:rFonts w:ascii="Calibri" w:hAnsi="Calibri"/>
                <w:sz w:val="22"/>
              </w:rPr>
              <w:t>~26% (vs. ~23% in Q1 due to SBC vesting timing)</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Q1 benefited from SBC award vesting; Q2 normalizes upward; headwind of ~$0.10–$0.12 vs. Q1</w:t>
            </w:r>
          </w:p>
        </w:tc>
      </w:tr>
      <w:tr>
        <w:tc>
          <w:tcPr>
            <w:tcW w:type="dxa" w:w="1728"/>
          </w:tcPr>
          <w:p>
            <w:r>
              <w:rPr>
                <w:rFonts w:ascii="Calibri" w:hAnsi="Calibri"/>
                <w:sz w:val="22"/>
              </w:rPr>
              <w:t>Containerboard Pricing (1st $50/ton increase)</w:t>
            </w:r>
          </w:p>
        </w:tc>
        <w:tc>
          <w:tcPr>
            <w:tcW w:type="dxa" w:w="1728"/>
          </w:tcPr>
          <w:p>
            <w:r>
              <w:rPr>
                <w:rFonts w:ascii="Calibri" w:hAnsi="Calibri"/>
                <w:sz w:val="22"/>
              </w:rPr>
              <w:t>Some benefit in Q2 (May start, June implementation); majority in Q3</w:t>
            </w:r>
          </w:p>
        </w:tc>
        <w:tc>
          <w:tcPr>
            <w:tcW w:type="dxa" w:w="1728"/>
          </w:tcPr>
          <w:p>
            <w:r>
              <w:rPr>
                <w:rFonts w:ascii="Calibri" w:hAnsi="Calibri"/>
                <w:sz w:val="22"/>
              </w:rPr>
              <w:t>Confirmed at June 10 WFC: "beginning to be meaningfully recognized in corrugated in June; substantially all of the rest coming in Q3"</w:t>
            </w:r>
          </w:p>
        </w:tc>
        <w:tc>
          <w:tcPr>
            <w:tcW w:type="dxa" w:w="1728"/>
          </w:tcPr>
          <w:p>
            <w:r>
              <w:rPr>
                <w:rFonts w:ascii="Calibri" w:hAnsi="Calibri"/>
                <w:sz w:val="22"/>
              </w:rPr>
              <w:t>N/A</w:t>
            </w:r>
          </w:p>
        </w:tc>
        <w:tc>
          <w:tcPr>
            <w:tcW w:type="dxa" w:w="1728"/>
          </w:tcPr>
          <w:p>
            <w:r>
              <w:rPr>
                <w:rFonts w:ascii="Calibri" w:hAnsi="Calibri"/>
                <w:sz w:val="22"/>
              </w:rPr>
              <w:t>Consistent with April guidance; no acceleration into Q2</w:t>
            </w:r>
          </w:p>
        </w:tc>
      </w:tr>
      <w:tr>
        <w:tc>
          <w:tcPr>
            <w:tcW w:type="dxa" w:w="1728"/>
          </w:tcPr>
          <w:p>
            <w:r>
              <w:rPr>
                <w:rFonts w:ascii="Calibri" w:hAnsi="Calibri"/>
                <w:sz w:val="22"/>
              </w:rPr>
              <w:t>Containerboard Pricing (2nd $50/ton increase)</w:t>
            </w:r>
          </w:p>
        </w:tc>
        <w:tc>
          <w:tcPr>
            <w:tcW w:type="dxa" w:w="1728"/>
          </w:tcPr>
          <w:p>
            <w:r>
              <w:rPr>
                <w:rFonts w:ascii="Calibri" w:hAnsi="Calibri"/>
                <w:sz w:val="22"/>
              </w:rPr>
              <w:t>Not in April guidance (announced June 1, effective June 1)</w:t>
            </w:r>
          </w:p>
        </w:tc>
        <w:tc>
          <w:tcPr>
            <w:tcW w:type="dxa" w:w="1728"/>
          </w:tcPr>
          <w:p>
            <w:r>
              <w:rPr>
                <w:rFonts w:ascii="Calibri" w:hAnsi="Calibri"/>
                <w:sz w:val="22"/>
              </w:rPr>
              <w:t>↑ New: Second $50/ton increase announced June 1, 2026; implementation underway; results expected to begin showing in Q3</w:t>
            </w:r>
          </w:p>
        </w:tc>
        <w:tc>
          <w:tcPr>
            <w:tcW w:type="dxa" w:w="1728"/>
          </w:tcPr>
          <w:p>
            <w:r>
              <w:rPr>
                <w:rFonts w:ascii="Calibri" w:hAnsi="Calibri"/>
                <w:sz w:val="22"/>
              </w:rPr>
              <w:t>N/A</w:t>
            </w:r>
          </w:p>
        </w:tc>
        <w:tc>
          <w:tcPr>
            <w:tcW w:type="dxa" w:w="1728"/>
          </w:tcPr>
          <w:p>
            <w:r>
              <w:rPr>
                <w:rFonts w:ascii="Calibri" w:hAnsi="Calibri"/>
                <w:sz w:val="22"/>
              </w:rPr>
              <w:t>↑ Positive development post-April earnings; incremental Q3/Q4 tailwind not in original guide</w:t>
            </w:r>
          </w:p>
        </w:tc>
      </w:tr>
      <w:tr>
        <w:tc>
          <w:tcPr>
            <w:tcW w:type="dxa" w:w="1728"/>
          </w:tcPr>
          <w:p>
            <w:r>
              <w:rPr>
                <w:rFonts w:ascii="Calibri" w:hAnsi="Calibri"/>
                <w:sz w:val="22"/>
              </w:rPr>
              <w:t>Greif Acquisition Contribution</w:t>
            </w:r>
          </w:p>
        </w:tc>
        <w:tc>
          <w:tcPr>
            <w:tcW w:type="dxa" w:w="1728"/>
          </w:tcPr>
          <w:p>
            <w:r>
              <w:rPr>
                <w:rFonts w:ascii="Calibri" w:hAnsi="Calibri"/>
                <w:sz w:val="22"/>
              </w:rPr>
              <w:t>Accretive in Q2; ~$0.10 sequential improvement from Q1 (Q1 was −$0.06)</w:t>
            </w:r>
          </w:p>
        </w:tc>
        <w:tc>
          <w:tcPr>
            <w:tcW w:type="dxa" w:w="1728"/>
          </w:tcPr>
          <w:p>
            <w:r>
              <w:rPr>
                <w:rFonts w:ascii="Calibri" w:hAnsi="Calibri"/>
                <w:sz w:val="22"/>
              </w:rPr>
              <w:t>Confirmed at June 10 WFC: Greif mills had record production month in May; Massillon best month in history; CorrChoice having "very, very strong Q2"</w:t>
            </w:r>
          </w:p>
        </w:tc>
        <w:tc>
          <w:tcPr>
            <w:tcW w:type="dxa" w:w="1728"/>
          </w:tcPr>
          <w:p>
            <w:r>
              <w:rPr>
                <w:rFonts w:ascii="Calibri" w:hAnsi="Calibri"/>
                <w:sz w:val="22"/>
              </w:rPr>
              <w:t>N/A</w:t>
            </w:r>
          </w:p>
        </w:tc>
        <w:tc>
          <w:tcPr>
            <w:tcW w:type="dxa" w:w="1728"/>
          </w:tcPr>
          <w:p>
            <w:r>
              <w:rPr>
                <w:rFonts w:ascii="Calibri" w:hAnsi="Calibri"/>
                <w:sz w:val="22"/>
              </w:rPr>
              <w:t>↑ Greif performing ahead of expectations operationally; on forecast despite higher freight/recycled costs</w:t>
            </w:r>
          </w:p>
        </w:tc>
      </w:tr>
    </w:tbl>
    <w:p>
      <w:r>
        <w:rPr>
          <w:rFonts w:ascii="Calibri" w:hAnsi="Calibri"/>
          <w:b/>
          <w:color w:val="525866"/>
          <w:sz w:val="22"/>
        </w:rPr>
        <w:t xml:space="preserve">Sources: </w:t>
      </w:r>
      <w:r>
        <w:rPr>
          <w:rFonts w:ascii="Calibri" w:hAnsi="Calibri"/>
          <w:color w:val="525866"/>
          <w:sz w:val="22"/>
        </w:rPr>
        <w:t>PKG Q1 2026 Earnings Call transcript (April 23, 2026); PKG Wells Fargo Industrials &amp; Materials Conference transcript (June 10,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Q2 2026 EPS estimates have been revised down ~1.7% since the Q1 print (from $2.35 to $2.31), tracking management's soft verbal caution on freight; full-year 2026 EPS estimates have moved modestly higher (+0.8%), reflecting the market's confidence in the Q3/Q4 inflection from dual price increases — the gap between a soft Q2 and a strong back half is the central debate.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Apr 29,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23 Call)</w:t>
            </w:r>
          </w:p>
        </w:tc>
        <w:tc>
          <w:tcPr>
            <w:tcW w:type="dxa" w:w="1080"/>
            <w:shd w:val="clear" w:color="auto" w:fill="3B4259"/>
          </w:tcPr>
          <w:p>
            <w:r>
              <w:rPr>
                <w:rFonts w:ascii="Calibri" w:hAnsi="Calibri"/>
                <w:b/>
                <w:color w:val="FFFFFF"/>
                <w:sz w:val="22"/>
              </w:rPr>
              <w:t>Current Guidance / Mgmt Signal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EPS — Diluted Operating (Q2 2026)</w:t>
            </w:r>
          </w:p>
        </w:tc>
        <w:tc>
          <w:tcPr>
            <w:tcW w:type="dxa" w:w="1080"/>
          </w:tcPr>
          <w:p>
            <w:r>
              <w:rPr>
                <w:rFonts w:ascii="Calibri" w:hAnsi="Calibri"/>
                <w:sz w:val="22"/>
              </w:rPr>
              <w:t>$2.350</w:t>
            </w:r>
          </w:p>
        </w:tc>
        <w:tc>
          <w:tcPr>
            <w:tcW w:type="dxa" w:w="1080"/>
          </w:tcPr>
          <w:p>
            <w:r>
              <w:rPr>
                <w:rFonts w:ascii="Calibri" w:hAnsi="Calibri"/>
                <w:sz w:val="22"/>
              </w:rPr>
              <w:t>$2.312</w:t>
            </w:r>
          </w:p>
        </w:tc>
        <w:tc>
          <w:tcPr>
            <w:tcW w:type="dxa" w:w="1080"/>
          </w:tcPr>
          <w:p>
            <w:r>
              <w:rPr>
                <w:rFonts w:ascii="Calibri" w:hAnsi="Calibri"/>
                <w:b/>
                <w:color w:val="E5484D"/>
                <w:sz w:val="22"/>
              </w:rPr>
              <w:t>−1.6%</w:t>
            </w:r>
          </w:p>
        </w:tc>
        <w:tc>
          <w:tcPr>
            <w:tcW w:type="dxa" w:w="1080"/>
          </w:tcPr>
          <w:p>
            <w:r>
              <w:rPr>
                <w:rFonts w:ascii="Calibri" w:hAnsi="Calibri"/>
                <w:sz w:val="22"/>
              </w:rPr>
              <w:t>$2.33</w:t>
            </w:r>
          </w:p>
        </w:tc>
        <w:tc>
          <w:tcPr>
            <w:tcW w:type="dxa" w:w="1080"/>
          </w:tcPr>
          <w:p>
            <w:r>
              <w:rPr>
                <w:rFonts w:ascii="Calibri" w:hAnsi="Calibri"/>
                <w:sz w:val="22"/>
              </w:rPr>
              <w:t>Soft verbal caution (June 10 WFC): "not managing to make guidance" but "good June could help"</w:t>
            </w:r>
          </w:p>
        </w:tc>
        <w:tc>
          <w:tcPr>
            <w:tcW w:type="dxa" w:w="1080"/>
          </w:tcPr>
          <w:p>
            <w:r>
              <w:rPr>
                <w:rFonts w:ascii="Calibri" w:hAnsi="Calibri"/>
                <w:sz w:val="22"/>
              </w:rPr>
              <w:t>↓ Soft verbal caution only; no formal revision</w:t>
            </w:r>
          </w:p>
        </w:tc>
        <w:tc>
          <w:tcPr>
            <w:tcW w:type="dxa" w:w="1080"/>
          </w:tcPr>
          <w:p>
            <w:r>
              <w:rPr>
                <w:rFonts w:ascii="Calibri" w:hAnsi="Calibri"/>
                <w:sz w:val="22"/>
              </w:rPr>
              <w:t>−0.8% (consensus slightly below guide)</w:t>
            </w:r>
          </w:p>
        </w:tc>
      </w:tr>
      <w:tr>
        <w:tc>
          <w:tcPr>
            <w:tcW w:type="dxa" w:w="1080"/>
          </w:tcPr>
          <w:p>
            <w:r>
              <w:rPr>
                <w:rFonts w:ascii="Calibri" w:hAnsi="Calibri"/>
                <w:sz w:val="22"/>
              </w:rPr>
              <w:t>Net Sales (Q2 2026)</w:t>
            </w:r>
          </w:p>
        </w:tc>
        <w:tc>
          <w:tcPr>
            <w:tcW w:type="dxa" w:w="1080"/>
          </w:tcPr>
          <w:p>
            <w:r>
              <w:rPr>
                <w:rFonts w:ascii="Calibri" w:hAnsi="Calibri"/>
                <w:sz w:val="22"/>
              </w:rPr>
              <w:t>$2,492.6M</w:t>
            </w:r>
          </w:p>
        </w:tc>
        <w:tc>
          <w:tcPr>
            <w:tcW w:type="dxa" w:w="1080"/>
          </w:tcPr>
          <w:p>
            <w:r>
              <w:rPr>
                <w:rFonts w:ascii="Calibri" w:hAnsi="Calibri"/>
                <w:sz w:val="22"/>
              </w:rPr>
              <w:t>$2,501.6M</w:t>
            </w:r>
          </w:p>
        </w:tc>
        <w:tc>
          <w:tcPr>
            <w:tcW w:type="dxa" w:w="1080"/>
          </w:tcPr>
          <w:p>
            <w:r>
              <w:rPr>
                <w:rFonts w:ascii="Calibri" w:hAnsi="Calibri"/>
                <w:b/>
                <w:color w:val="30A46C"/>
                <w:sz w:val="22"/>
              </w:rPr>
              <w:t>+0.4%</w:t>
            </w:r>
          </w:p>
        </w:tc>
        <w:tc>
          <w:tcPr>
            <w:tcW w:type="dxa" w:w="1080"/>
          </w:tcPr>
          <w:p>
            <w:r>
              <w:rPr>
                <w:rFonts w:ascii="Calibri" w:hAnsi="Calibri"/>
                <w:sz w:val="22"/>
              </w:rPr>
              <w:t>N/A — not provided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EBITDA (Q2 2026)</w:t>
            </w:r>
          </w:p>
        </w:tc>
        <w:tc>
          <w:tcPr>
            <w:tcW w:type="dxa" w:w="1080"/>
          </w:tcPr>
          <w:p>
            <w:r>
              <w:rPr>
                <w:rFonts w:ascii="Calibri" w:hAnsi="Calibri"/>
                <w:sz w:val="22"/>
              </w:rPr>
              <w:t>$490.6M</w:t>
            </w:r>
          </w:p>
        </w:tc>
        <w:tc>
          <w:tcPr>
            <w:tcW w:type="dxa" w:w="1080"/>
          </w:tcPr>
          <w:p>
            <w:r>
              <w:rPr>
                <w:rFonts w:ascii="Calibri" w:hAnsi="Calibri"/>
                <w:sz w:val="22"/>
              </w:rPr>
              <w:t>$491.5M</w:t>
            </w:r>
          </w:p>
        </w:tc>
        <w:tc>
          <w:tcPr>
            <w:tcW w:type="dxa" w:w="1080"/>
          </w:tcPr>
          <w:p>
            <w:r>
              <w:rPr>
                <w:rFonts w:ascii="Calibri" w:hAnsi="Calibri"/>
                <w:b/>
                <w:color w:val="30A46C"/>
                <w:sz w:val="22"/>
              </w:rPr>
              <w:t>+0.2%</w:t>
            </w:r>
          </w:p>
        </w:tc>
        <w:tc>
          <w:tcPr>
            <w:tcW w:type="dxa" w:w="1080"/>
          </w:tcPr>
          <w:p>
            <w:r>
              <w:rPr>
                <w:rFonts w:ascii="Calibri" w:hAnsi="Calibri"/>
                <w:sz w:val="22"/>
              </w:rPr>
              <w:t>N/A — not provided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Corrugated Volume — Implied Box (Q2 2026)</w:t>
            </w:r>
          </w:p>
        </w:tc>
        <w:tc>
          <w:tcPr>
            <w:tcW w:type="dxa" w:w="1080"/>
          </w:tcPr>
          <w:p>
            <w:r>
              <w:rPr>
                <w:rFonts w:ascii="Calibri" w:hAnsi="Calibri"/>
                <w:sz w:val="22"/>
              </w:rPr>
              <w:t>19,201.4 Msq ft</w:t>
            </w:r>
          </w:p>
        </w:tc>
        <w:tc>
          <w:tcPr>
            <w:tcW w:type="dxa" w:w="1080"/>
          </w:tcPr>
          <w:p>
            <w:r>
              <w:rPr>
                <w:rFonts w:ascii="Calibri" w:hAnsi="Calibri"/>
                <w:sz w:val="22"/>
              </w:rPr>
              <w:t>19,300.8 Msq ft</w:t>
            </w:r>
          </w:p>
        </w:tc>
        <w:tc>
          <w:tcPr>
            <w:tcW w:type="dxa" w:w="1080"/>
          </w:tcPr>
          <w:p>
            <w:r>
              <w:rPr>
                <w:rFonts w:ascii="Calibri" w:hAnsi="Calibri"/>
                <w:b/>
                <w:color w:val="30A46C"/>
                <w:sz w:val="22"/>
              </w:rPr>
              <w:t>+0.5%</w:t>
            </w:r>
          </w:p>
        </w:tc>
        <w:tc>
          <w:tcPr>
            <w:tcW w:type="dxa" w:w="1080"/>
          </w:tcPr>
          <w:p>
            <w:r>
              <w:rPr>
                <w:rFonts w:ascii="Calibri" w:hAnsi="Calibri"/>
                <w:sz w:val="22"/>
              </w:rPr>
              <w:t>Strong demand; 1 more shipping day; seasonal improvement in Greif ops</w:t>
            </w:r>
          </w:p>
        </w:tc>
        <w:tc>
          <w:tcPr>
            <w:tcW w:type="dxa" w:w="1080"/>
          </w:tcPr>
          <w:p>
            <w:r>
              <w:rPr>
                <w:rFonts w:ascii="Calibri" w:hAnsi="Calibri"/>
                <w:sz w:val="22"/>
              </w:rPr>
              <w:t>Confirmed strong: legacy +4.5% Apr, +3.5% May YoY; bookings strong into June</w:t>
            </w:r>
          </w:p>
        </w:tc>
        <w:tc>
          <w:tcPr>
            <w:tcW w:type="dxa" w:w="1080"/>
          </w:tcPr>
          <w:p>
            <w:r>
              <w:rPr>
                <w:rFonts w:ascii="Calibri" w:hAnsi="Calibri"/>
                <w:sz w:val="22"/>
              </w:rPr>
              <w:t>↑ Volume tracking above initial expectations</w:t>
            </w:r>
          </w:p>
        </w:tc>
        <w:tc>
          <w:tcPr>
            <w:tcW w:type="dxa" w:w="1080"/>
          </w:tcPr>
          <w:p>
            <w:r>
              <w:rPr>
                <w:rFonts w:ascii="Calibri" w:hAnsi="Calibri"/>
                <w:sz w:val="22"/>
              </w:rPr>
              <w:t>Consensus slightly above initial guide</w:t>
            </w:r>
          </w:p>
        </w:tc>
      </w:tr>
      <w:tr>
        <w:tc>
          <w:tcPr>
            <w:tcW w:type="dxa" w:w="1080"/>
          </w:tcPr>
          <w:p>
            <w:r>
              <w:rPr>
                <w:rFonts w:ascii="Calibri" w:hAnsi="Calibri"/>
                <w:sz w:val="22"/>
              </w:rPr>
              <w:t>EPS — Diluted Operating (FY 2026)</w:t>
            </w:r>
          </w:p>
        </w:tc>
        <w:tc>
          <w:tcPr>
            <w:tcW w:type="dxa" w:w="1080"/>
          </w:tcPr>
          <w:p>
            <w:r>
              <w:rPr>
                <w:rFonts w:ascii="Calibri" w:hAnsi="Calibri"/>
                <w:sz w:val="22"/>
              </w:rPr>
              <w:t>$10.371</w:t>
            </w:r>
          </w:p>
        </w:tc>
        <w:tc>
          <w:tcPr>
            <w:tcW w:type="dxa" w:w="1080"/>
          </w:tcPr>
          <w:p>
            <w:r>
              <w:rPr>
                <w:rFonts w:ascii="Calibri" w:hAnsi="Calibri"/>
                <w:sz w:val="22"/>
              </w:rPr>
              <w:t>$10.453</w:t>
            </w:r>
          </w:p>
        </w:tc>
        <w:tc>
          <w:tcPr>
            <w:tcW w:type="dxa" w:w="1080"/>
          </w:tcPr>
          <w:p>
            <w:r>
              <w:rPr>
                <w:rFonts w:ascii="Calibri" w:hAnsi="Calibri"/>
                <w:b/>
                <w:color w:val="30A46C"/>
                <w:sz w:val="22"/>
              </w:rPr>
              <w:t>+0.8%</w:t>
            </w:r>
          </w:p>
        </w:tc>
        <w:tc>
          <w:tcPr>
            <w:tcW w:type="dxa" w:w="1080"/>
          </w:tcPr>
          <w:p>
            <w:r>
              <w:rPr>
                <w:rFonts w:ascii="Calibri" w:hAnsi="Calibri"/>
                <w:sz w:val="22"/>
              </w:rPr>
              <w:t>N/A — no FY guide provided</w:t>
            </w:r>
          </w:p>
        </w:tc>
        <w:tc>
          <w:tcPr>
            <w:tcW w:type="dxa" w:w="1080"/>
          </w:tcPr>
          <w:p>
            <w:r>
              <w:rPr>
                <w:rFonts w:ascii="Calibri" w:hAnsi="Calibri"/>
                <w:sz w:val="22"/>
              </w:rPr>
              <w:t>Dual $50/ton price increases both expected to be substantially recognized in Q3; Q3 "setting up very nicely"</w:t>
            </w:r>
          </w:p>
        </w:tc>
        <w:tc>
          <w:tcPr>
            <w:tcW w:type="dxa" w:w="1080"/>
          </w:tcPr>
          <w:p>
            <w:r>
              <w:rPr>
                <w:rFonts w:ascii="Calibri" w:hAnsi="Calibri"/>
                <w:sz w:val="22"/>
              </w:rPr>
              <w:t>↑ FY estimates rising on Q3/Q4 price tailwind confidence</w:t>
            </w:r>
          </w:p>
        </w:tc>
        <w:tc>
          <w:tcPr>
            <w:tcW w:type="dxa" w:w="1080"/>
          </w:tcPr>
          <w:p>
            <w:r>
              <w:rPr>
                <w:rFonts w:ascii="Calibri" w:hAnsi="Calibri"/>
                <w:sz w:val="22"/>
              </w:rPr>
              <w:t>N/A — no formal FY guide</w:t>
            </w:r>
          </w:p>
        </w:tc>
      </w:tr>
      <w:tr>
        <w:tc>
          <w:tcPr>
            <w:tcW w:type="dxa" w:w="1080"/>
          </w:tcPr>
          <w:p>
            <w:r>
              <w:rPr>
                <w:rFonts w:ascii="Calibri" w:hAnsi="Calibri"/>
                <w:sz w:val="22"/>
              </w:rPr>
              <w:t>Net Sales (FY 2026)</w:t>
            </w:r>
          </w:p>
        </w:tc>
        <w:tc>
          <w:tcPr>
            <w:tcW w:type="dxa" w:w="1080"/>
          </w:tcPr>
          <w:p>
            <w:r>
              <w:rPr>
                <w:rFonts w:ascii="Calibri" w:hAnsi="Calibri"/>
                <w:sz w:val="22"/>
              </w:rPr>
              <w:t>$9,968.6M</w:t>
            </w:r>
          </w:p>
        </w:tc>
        <w:tc>
          <w:tcPr>
            <w:tcW w:type="dxa" w:w="1080"/>
          </w:tcPr>
          <w:p>
            <w:r>
              <w:rPr>
                <w:rFonts w:ascii="Calibri" w:hAnsi="Calibri"/>
                <w:sz w:val="22"/>
              </w:rPr>
              <w:t>$10,063.2M</w:t>
            </w:r>
          </w:p>
        </w:tc>
        <w:tc>
          <w:tcPr>
            <w:tcW w:type="dxa" w:w="1080"/>
          </w:tcPr>
          <w:p>
            <w:r>
              <w:rPr>
                <w:rFonts w:ascii="Calibri" w:hAnsi="Calibri"/>
                <w:b/>
                <w:color w:val="30A46C"/>
                <w:sz w:val="22"/>
              </w:rPr>
              <w:t>+0.9%</w:t>
            </w:r>
          </w:p>
        </w:tc>
        <w:tc>
          <w:tcPr>
            <w:tcW w:type="dxa" w:w="1080"/>
          </w:tcPr>
          <w:p>
            <w:r>
              <w:rPr>
                <w:rFonts w:ascii="Calibri" w:hAnsi="Calibri"/>
                <w:sz w:val="22"/>
              </w:rPr>
              <w:t>N/A — no FY guide provided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divergence between a modestly declining Q2 EPS estimate (−1.6%) and a rising FY 2026 EPS estimate (+0.8%) captures the market's view precisely: Q2 is a transitional quarter burdened by freight headwinds, heavy outage expense ($0.36/share), tax rate normalization, and deferred price realization — but the full-year setup is improving as both $50/ton containerboard price increases are expected to be substantially recognized in Q3. The second price increase (announced June 1) was not in the April guidance and represents incremental upside to FY estimates that the Street is beginning to price in. Source: Visible Alpha Consensus and Actuals Data; PKG Q1 2026 Earnings Call (April 23, 2026); PKG Wells Fargo Conference (June 10,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PKG has outperformed both XLB (+11.2% vs. XLB −3.3% since the Q1 print) driven primarily by multiple expansion and forward earnings re-rating on the Q3/Q4 price increase narrative, not Q2 execution; the stock's move ahead of the print suggests the market is already pricing in the back-half inflection, raising the bar for Q3 guidance to sustain the re-rating.</w:t>
      </w:r>
    </w:p>
    <w:p>
      <w:r>
        <w:rPr>
          <w:rFonts w:ascii="Calibri" w:hAnsi="Calibri"/>
          <w:b/>
          <w:color w:val="525866"/>
          <w:sz w:val="22"/>
        </w:rPr>
        <w:t>Chart: PKG vs. XLB vs. S&amp;P 500 — Indexed to 100 at April 22, 2026 (Q1 2026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PKG (Indexed)</w:t>
            </w:r>
          </w:p>
        </w:tc>
        <w:tc>
          <w:tcPr>
            <w:tcW w:type="dxa" w:w="2160"/>
            <w:shd w:val="clear" w:color="auto" w:fill="3B4259"/>
          </w:tcPr>
          <w:p>
            <w:r>
              <w:rPr>
                <w:rFonts w:ascii="Calibri" w:hAnsi="Calibri"/>
                <w:b/>
                <w:color w:val="FFFFFF"/>
                <w:sz w:val="22"/>
              </w:rPr>
              <w:t>XLB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22,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23, 2026 (Day After)</w:t>
            </w:r>
          </w:p>
        </w:tc>
        <w:tc>
          <w:tcPr>
            <w:tcW w:type="dxa" w:w="2160"/>
          </w:tcPr>
          <w:p>
            <w:r>
              <w:rPr>
                <w:rFonts w:ascii="Calibri" w:hAnsi="Calibri"/>
                <w:sz w:val="22"/>
              </w:rPr>
              <w:t>104.8</w:t>
            </w:r>
          </w:p>
        </w:tc>
        <w:tc>
          <w:tcPr>
            <w:tcW w:type="dxa" w:w="2160"/>
          </w:tcPr>
          <w:p>
            <w:r>
              <w:rPr>
                <w:rFonts w:ascii="Calibri" w:hAnsi="Calibri"/>
                <w:sz w:val="22"/>
              </w:rPr>
              <w:t>100.0</w:t>
            </w:r>
          </w:p>
        </w:tc>
        <w:tc>
          <w:tcPr>
            <w:tcW w:type="dxa" w:w="2160"/>
          </w:tcPr>
          <w:p>
            <w:r>
              <w:rPr>
                <w:rFonts w:ascii="Calibri" w:hAnsi="Calibri"/>
                <w:sz w:val="22"/>
              </w:rPr>
              <w:t>99.6</w:t>
            </w:r>
          </w:p>
        </w:tc>
      </w:tr>
      <w:tr>
        <w:tc>
          <w:tcPr>
            <w:tcW w:type="dxa" w:w="2160"/>
          </w:tcPr>
          <w:p>
            <w:r>
              <w:rPr>
                <w:rFonts w:ascii="Calibri" w:hAnsi="Calibri"/>
                <w:sz w:val="22"/>
              </w:rPr>
              <w:t>May 19, 2026 (Trough)</w:t>
            </w:r>
          </w:p>
        </w:tc>
        <w:tc>
          <w:tcPr>
            <w:tcW w:type="dxa" w:w="2160"/>
          </w:tcPr>
          <w:p>
            <w:r>
              <w:rPr>
                <w:rFonts w:ascii="Calibri" w:hAnsi="Calibri"/>
                <w:sz w:val="22"/>
              </w:rPr>
              <w:t>99.0</w:t>
            </w:r>
          </w:p>
        </w:tc>
        <w:tc>
          <w:tcPr>
            <w:tcW w:type="dxa" w:w="2160"/>
          </w:tcPr>
          <w:p>
            <w:r>
              <w:rPr>
                <w:rFonts w:ascii="Calibri" w:hAnsi="Calibri"/>
                <w:sz w:val="22"/>
              </w:rPr>
              <w:t>94.6</w:t>
            </w:r>
          </w:p>
        </w:tc>
        <w:tc>
          <w:tcPr>
            <w:tcW w:type="dxa" w:w="2160"/>
          </w:tcPr>
          <w:p>
            <w:r>
              <w:rPr>
                <w:rFonts w:ascii="Calibri" w:hAnsi="Calibri"/>
                <w:sz w:val="22"/>
              </w:rPr>
              <w:t>103.2</w:t>
            </w:r>
          </w:p>
        </w:tc>
      </w:tr>
      <w:tr>
        <w:tc>
          <w:tcPr>
            <w:tcW w:type="dxa" w:w="2160"/>
          </w:tcPr>
          <w:p>
            <w:r>
              <w:rPr>
                <w:rFonts w:ascii="Calibri" w:hAnsi="Calibri"/>
                <w:sz w:val="22"/>
              </w:rPr>
              <w:t>Jun 10, 2026 (Wells Fargo Conference)</w:t>
            </w:r>
          </w:p>
        </w:tc>
        <w:tc>
          <w:tcPr>
            <w:tcW w:type="dxa" w:w="2160"/>
          </w:tcPr>
          <w:p>
            <w:r>
              <w:rPr>
                <w:rFonts w:ascii="Calibri" w:hAnsi="Calibri"/>
                <w:sz w:val="22"/>
              </w:rPr>
              <w:t>105.6</w:t>
            </w:r>
          </w:p>
        </w:tc>
        <w:tc>
          <w:tcPr>
            <w:tcW w:type="dxa" w:w="2160"/>
          </w:tcPr>
          <w:p>
            <w:r>
              <w:rPr>
                <w:rFonts w:ascii="Calibri" w:hAnsi="Calibri"/>
                <w:sz w:val="22"/>
              </w:rPr>
              <w:t>95.7</w:t>
            </w:r>
          </w:p>
        </w:tc>
        <w:tc>
          <w:tcPr>
            <w:tcW w:type="dxa" w:w="2160"/>
          </w:tcPr>
          <w:p>
            <w:r>
              <w:rPr>
                <w:rFonts w:ascii="Calibri" w:hAnsi="Calibri"/>
                <w:sz w:val="22"/>
              </w:rPr>
              <w:t>102.0</w:t>
            </w:r>
          </w:p>
        </w:tc>
      </w:tr>
      <w:tr>
        <w:tc>
          <w:tcPr>
            <w:tcW w:type="dxa" w:w="2160"/>
          </w:tcPr>
          <w:p>
            <w:r>
              <w:rPr>
                <w:rFonts w:ascii="Calibri" w:hAnsi="Calibri"/>
                <w:sz w:val="22"/>
              </w:rPr>
              <w:t>Jun 26, 2026 (Recent Peak)</w:t>
            </w:r>
          </w:p>
        </w:tc>
        <w:tc>
          <w:tcPr>
            <w:tcW w:type="dxa" w:w="2160"/>
          </w:tcPr>
          <w:p>
            <w:r>
              <w:rPr>
                <w:rFonts w:ascii="Calibri" w:hAnsi="Calibri"/>
                <w:sz w:val="22"/>
              </w:rPr>
              <w:t>117.7</w:t>
            </w:r>
          </w:p>
        </w:tc>
        <w:tc>
          <w:tcPr>
            <w:tcW w:type="dxa" w:w="2160"/>
          </w:tcPr>
          <w:p>
            <w:r>
              <w:rPr>
                <w:rFonts w:ascii="Calibri" w:hAnsi="Calibri"/>
                <w:sz w:val="22"/>
              </w:rPr>
              <w:t>99.6</w:t>
            </w:r>
          </w:p>
        </w:tc>
        <w:tc>
          <w:tcPr>
            <w:tcW w:type="dxa" w:w="2160"/>
          </w:tcPr>
          <w:p>
            <w:r>
              <w:rPr>
                <w:rFonts w:ascii="Calibri" w:hAnsi="Calibri"/>
                <w:sz w:val="22"/>
              </w:rPr>
              <w:t>102.5</w:t>
            </w:r>
          </w:p>
        </w:tc>
      </w:tr>
      <w:tr>
        <w:tc>
          <w:tcPr>
            <w:tcW w:type="dxa" w:w="2160"/>
          </w:tcPr>
          <w:p>
            <w:r>
              <w:rPr>
                <w:rFonts w:ascii="Calibri" w:hAnsi="Calibri"/>
                <w:sz w:val="22"/>
              </w:rPr>
              <w:t>Jul 21, 2026 (Preparation Date)</w:t>
            </w:r>
          </w:p>
        </w:tc>
        <w:tc>
          <w:tcPr>
            <w:tcW w:type="dxa" w:w="2160"/>
          </w:tcPr>
          <w:p>
            <w:r>
              <w:rPr>
                <w:rFonts w:ascii="Calibri" w:hAnsi="Calibri"/>
                <w:sz w:val="22"/>
              </w:rPr>
              <w:t>111.2</w:t>
            </w:r>
          </w:p>
        </w:tc>
        <w:tc>
          <w:tcPr>
            <w:tcW w:type="dxa" w:w="2160"/>
          </w:tcPr>
          <w:p>
            <w:r>
              <w:rPr>
                <w:rFonts w:ascii="Calibri" w:hAnsi="Calibri"/>
                <w:sz w:val="22"/>
              </w:rPr>
              <w:t>96.7</w:t>
            </w:r>
          </w:p>
        </w:tc>
        <w:tc>
          <w:tcPr>
            <w:tcW w:type="dxa" w:w="2160"/>
          </w:tcPr>
          <w:p>
            <w:r>
              <w:rPr>
                <w:rFonts w:ascii="Calibri" w:hAnsi="Calibri"/>
                <w:sz w:val="22"/>
              </w:rPr>
              <w:t>104.5</w:t>
            </w:r>
          </w:p>
        </w:tc>
      </w:tr>
    </w:tbl>
    <w:p>
      <w:r>
        <w:rPr>
          <w:rFonts w:ascii="Calibri" w:hAnsi="Calibri"/>
          <w:b/>
          <w:color w:val="525866"/>
          <w:sz w:val="22"/>
        </w:rPr>
        <w:t xml:space="preserve">Performance Summary: </w:t>
      </w:r>
      <w:r>
        <w:rPr>
          <w:rFonts w:ascii="Calibri" w:hAnsi="Calibri"/>
          <w:color w:val="525866"/>
          <w:sz w:val="22"/>
        </w:rPr>
        <w:t>Since the Q1 2026 earnings date (April 22, 2026), PKG has returned approximately +11.2% (from $205.24 to $228.21 as of July 21, 2026), significantly outperforming XLB (−3.3%, from $51.83 to $50.10) and modestly outperforming the S&amp;P 500 (+5.2%, from $711.21 to $748.28). The stock surged ~4.8% on the day after earnings (April 23), pulled back to near flat by mid-May as freight cost concerns weighed, then re-rated sharply higher through late June as the second $50/ton price increase announcement (June 1) and strong volume commentary at the Wells Fargo conference (June 10) reinforced the Q3 inflection thesis. The stock has since pulled back modestly from its late-June peak (~$241) ahead of the print. On a 12-month basis, PKG is up ~14.2%, with approximately 3% attributable to EV/EBITDA multiple expansion (from 10.24x to 10.54x) and the remainder to earnings growth, consistent with the Greif acquisition integration and demand recovery narrative. Sector ETF used: XLB (Materials Select Sector SPDR), which is the appropriate benchmark for PKG's containers &amp; packaging sub-sector. Source: Stock Price Data (Yahoo Finance).</w:t>
      </w:r>
    </w:p>
    <w:p>
      <w:r>
        <w:rPr>
          <w:rFonts w:ascii="Calibri" w:hAnsi="Calibri"/>
          <w:b/>
          <w:color w:val="525866"/>
          <w:sz w:val="22"/>
        </w:rPr>
        <w:t>Key Events Since Q1 Earnings:</w:t>
      </w:r>
    </w:p>
    <w:p>
      <w:pPr>
        <w:pStyle w:val="ListBullet"/>
        <w:ind w:left="360" w:hanging="360"/>
      </w:pPr>
      <w:r>
        <w:rPr>
          <w:rFonts w:ascii="Calibri" w:hAnsi="Calibri"/>
          <w:b/>
          <w:color w:val="525866"/>
          <w:sz w:val="22"/>
        </w:rPr>
        <w:t>April 23, 2026:</w:t>
      </w:r>
      <w:r>
        <w:rPr>
          <w:rFonts w:ascii="Calibri" w:hAnsi="Calibri"/>
          <w:color w:val="525866"/>
          <w:sz w:val="22"/>
        </w:rPr>
        <w:t xml:space="preserve"> Q1 2026 earnings call — PKG beat EPS by 12.7% but guided Q2 well below consensus; stock +4.8% on the day.</w:t>
      </w:r>
    </w:p>
    <w:p>
      <w:pPr>
        <w:pStyle w:val="ListBullet"/>
        <w:ind w:left="360" w:hanging="360"/>
      </w:pPr>
      <w:r>
        <w:rPr>
          <w:rFonts w:ascii="Calibri" w:hAnsi="Calibri"/>
          <w:b/>
          <w:color w:val="525866"/>
          <w:sz w:val="22"/>
        </w:rPr>
        <w:t>June 1, 2026:</w:t>
      </w:r>
      <w:r>
        <w:rPr>
          <w:rFonts w:ascii="Calibri" w:hAnsi="Calibri"/>
          <w:color w:val="525866"/>
          <w:sz w:val="22"/>
        </w:rPr>
        <w:t xml:space="preserve"> Second $50/ton containerboard price increase announced, effective June 1 — incremental Q3/Q4 tailwind not in original guidance.</w:t>
      </w:r>
    </w:p>
    <w:p>
      <w:pPr>
        <w:pStyle w:val="ListBullet"/>
        <w:ind w:left="360" w:hanging="360"/>
      </w:pPr>
      <w:r>
        <w:rPr>
          <w:rFonts w:ascii="Calibri" w:hAnsi="Calibri"/>
          <w:b/>
          <w:color w:val="525866"/>
          <w:sz w:val="22"/>
        </w:rPr>
        <w:t>June 10, 2026:</w:t>
      </w:r>
      <w:r>
        <w:rPr>
          <w:rFonts w:ascii="Calibri" w:hAnsi="Calibri"/>
          <w:color w:val="525866"/>
          <w:sz w:val="22"/>
        </w:rPr>
        <w:t xml:space="preserve"> CEO Mark Kowlzan and CFO Kent Pflederer present at Wells Fargo Industrials &amp; Materials Conference — confirmed strong April/May volumes, freight headwinds of $10–12M, and Q3 "setting up very nicely."</w:t>
      </w:r>
    </w:p>
    <w:p>
      <w:pPr>
        <w:pStyle w:val="ListBullet"/>
        <w:ind w:left="360" w:hanging="360"/>
      </w:pPr>
      <w:r>
        <w:rPr>
          <w:rFonts w:ascii="Calibri" w:hAnsi="Calibri"/>
          <w:b/>
          <w:color w:val="525866"/>
          <w:sz w:val="22"/>
        </w:rPr>
        <w:t>May 27, 2026:</w:t>
      </w:r>
      <w:r>
        <w:rPr>
          <w:rFonts w:ascii="Calibri" w:hAnsi="Calibri"/>
          <w:color w:val="525866"/>
          <w:sz w:val="22"/>
        </w:rPr>
        <w:t xml:space="preserve"> CEO Mark Kowlzan sold 9,266 shares at market (open-market sale, non-10b5-1).</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June 1 announcement of a second $50/ton containerboard price increase — not in the April guidance — which, combined with the first increase, sets up Q3 as a major earnings inflection quarter; the Wells Fargo conference (June 10) provided the most comprehensive mid-quarter update and confirmed the thesis.</w:t>
      </w:r>
    </w:p>
    <w:p>
      <w:pPr>
        <w:pStyle w:val="ListBullet"/>
        <w:ind w:left="360" w:hanging="360"/>
      </w:pPr>
      <w:r>
        <w:rPr>
          <w:rFonts w:ascii="Calibri" w:hAnsi="Calibri"/>
          <w:b/>
          <w:color w:val="525866"/>
          <w:sz w:val="22"/>
        </w:rPr>
        <w:t>June 10, 2026 — Wells Fargo Industrials &amp; Materials Conference (PKG CEO &amp; CFO):</w:t>
      </w:r>
      <w:r>
        <w:rPr>
          <w:rFonts w:ascii="Calibri" w:hAnsi="Calibri"/>
          <w:color w:val="525866"/>
          <w:sz w:val="22"/>
        </w:rPr>
        <w:t xml:space="preserve"> Most comprehensive mid-quarter update since Q1 earnings. Management confirmed legacy corrugated shipments per day up 4.5% in April and 3.5% in May YoY; bookings "very strong" and continuing into June; customers "not signaling a slowdown." Freight running $10–12M unfavorable to Q2 guidance with no June relief expected. Recycled fiber costs escalated more than planned but PKG tracking slightly favorable to guidance by shifting to virgin fiber. Greif mills had record production month in May (Massillon best month in history). Q3 described as "setting up very nicely" with price tailwinds, lower outage expense, and continued demand growth. </w:t>
      </w:r>
    </w:p>
    <w:p>
      <w:pPr>
        <w:pStyle w:val="ListBullet"/>
        <w:ind w:left="360" w:hanging="360"/>
      </w:pPr>
      <w:r>
        <w:rPr>
          <w:rFonts w:ascii="Calibri" w:hAnsi="Calibri"/>
          <w:b/>
          <w:color w:val="525866"/>
          <w:sz w:val="22"/>
        </w:rPr>
        <w:t>June 1, 2026 — Second $50/ton Containerboard Price Increase Announced:</w:t>
      </w:r>
      <w:r>
        <w:rPr>
          <w:rFonts w:ascii="Calibri" w:hAnsi="Calibri"/>
          <w:color w:val="525866"/>
          <w:sz w:val="22"/>
        </w:rPr>
        <w:t xml:space="preserve"> PKG announced a second $50/ton containerboard price increase effective June 1, citing inventory tightness, strong demand, and higher freight/operating costs. Both the first and second increases are expected to be substantially recognized in Q3 2026. This was not in the April guidance and represents incremental upside to FY 2026 estimates. Containerboard open market supply described as "very hard to find." </w:t>
      </w:r>
    </w:p>
    <w:p>
      <w:pPr>
        <w:pStyle w:val="ListBullet"/>
        <w:ind w:left="360" w:hanging="360"/>
      </w:pPr>
      <w:r>
        <w:rPr>
          <w:rFonts w:ascii="Calibri" w:hAnsi="Calibri"/>
          <w:b/>
          <w:color w:val="525866"/>
          <w:sz w:val="22"/>
        </w:rPr>
        <w:t>April 23, 2026 — Q1 2026 Earnings Beat &amp; Q2 Guidance:</w:t>
      </w:r>
      <w:r>
        <w:rPr>
          <w:rFonts w:ascii="Calibri" w:hAnsi="Calibri"/>
          <w:color w:val="525866"/>
          <w:sz w:val="22"/>
        </w:rPr>
        <w:t xml:space="preserve"> PKG reported Q1 EPS of $2.40 vs. guidance of $2.20 and consensus of ~$2.13 (+12.7% beat). Q2 guidance of $2.33 was set well below the then-consensus of ~$2.35, driven by heavy outage expense ($0.36/share), freight cost headwinds, tax rate normalization (~26% vs. ~23% in Q1), and deferred price realization. Board approved gas turbine projects at Jackson (AL) and Riverville (VA) mills; DeRidder (LA) project to be submitted in May. Quarterly dividend raised ~20%. </w:t>
      </w:r>
    </w:p>
    <w:p>
      <w:pPr>
        <w:pStyle w:val="ListBullet"/>
        <w:ind w:left="360" w:hanging="360"/>
      </w:pPr>
      <w:r>
        <w:rPr>
          <w:rFonts w:ascii="Calibri" w:hAnsi="Calibri"/>
          <w:b/>
          <w:color w:val="525866"/>
          <w:sz w:val="22"/>
        </w:rPr>
        <w:t>May 26, 2026 — Nippon Dynawave Mill Incident (Pacific Northwest):</w:t>
      </w:r>
      <w:r>
        <w:rPr>
          <w:rFonts w:ascii="Calibri" w:hAnsi="Calibri"/>
          <w:color w:val="525866"/>
          <w:sz w:val="22"/>
        </w:rPr>
        <w:t xml:space="preserve"> A mill incident at Nippon Dynawave in the Pacific Northwest removed some containerboard capacity from the market. Management confirmed at the June 10 conference that this event has not resulted in any observable change in PKG's order book, though it contributes to the broader narrative of tight containerboard supply. </w:t>
      </w:r>
    </w:p>
    <w:p>
      <w:pPr>
        <w:pStyle w:val="ListBullet"/>
        <w:ind w:left="360" w:hanging="360"/>
      </w:pPr>
      <w:r>
        <w:rPr>
          <w:rFonts w:ascii="Calibri" w:hAnsi="Calibri"/>
          <w:b/>
          <w:color w:val="525866"/>
          <w:sz w:val="22"/>
        </w:rPr>
        <w:t>May 27, 2026 — CEO Open-Market Share Sale:</w:t>
      </w:r>
      <w:r>
        <w:rPr>
          <w:rFonts w:ascii="Calibri" w:hAnsi="Calibri"/>
          <w:color w:val="525866"/>
          <w:sz w:val="22"/>
        </w:rPr>
        <w:t xml:space="preserve"> Chairman &amp; CEO Mark Kowlzan sold 9,266 shares of common stock at market on May 27, 2026 (filed May 28). Transaction was not under a 10b5-1 plan. Kowlzan retained 473,610 shares post-transaction. See Insider Transaction Activity section for detail. </w:t>
      </w:r>
    </w:p>
    <w:p>
      <w:pPr>
        <w:pStyle w:val="ListBullet"/>
        <w:ind w:left="360" w:hanging="360"/>
      </w:pPr>
      <w:r>
        <w:rPr>
          <w:rFonts w:ascii="Calibri" w:hAnsi="Calibri"/>
          <w:b/>
          <w:color w:val="525866"/>
          <w:sz w:val="22"/>
        </w:rPr>
        <w:t>June 22, 2026 — PKG Schedules Q2 2026 Earnings Conference Call:</w:t>
      </w:r>
      <w:r>
        <w:rPr>
          <w:rFonts w:ascii="Calibri" w:hAnsi="Calibri"/>
          <w:color w:val="525866"/>
          <w:sz w:val="22"/>
        </w:rPr>
        <w:t xml:space="preserve"> PKG announced its Q2 2026 earnings call for July 23, 2026. No pre-announcement or guidance update was included in the press release. </w:t>
      </w:r>
    </w:p>
    <w:p>
      <w:pPr>
        <w:pStyle w:val="ListBullet"/>
        <w:ind w:left="360" w:hanging="360"/>
      </w:pPr>
      <w:r>
        <w:rPr>
          <w:rFonts w:ascii="Calibri" w:hAnsi="Calibri"/>
          <w:b/>
          <w:color w:val="525866"/>
          <w:sz w:val="22"/>
        </w:rPr>
        <w:t>Ongoing — Macro / Industry Backdrop:</w:t>
      </w:r>
      <w:r>
        <w:rPr>
          <w:rFonts w:ascii="Calibri" w:hAnsi="Calibri"/>
          <w:color w:val="525866"/>
          <w:sz w:val="22"/>
        </w:rPr>
        <w:t xml:space="preserve"> Diesel fuel prices remain elevated, driving freight cost inflation across the packaging industry (confirmed by both PKG and peer GPK at their respective June conferences). Recycled fiber (OCC) costs have risen due to higher prices and transportation costs. The broader containerboard market is described by PKG management as very tight with open-market supply "hard to find," supporting the pricing environment for both announced increases. </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The only insider transaction since the Q1 earnings date is a discretionary open-market sale by CEO Mark Kowlzan on May 27, 2026 — notable as it was not executed under a 10b5-1 plan, though the size (~1.9% of his holdings) is not alarming; no insider purchases have been filed, and the absence of buying ahead of what management has described as a strong Q3 setup is worth monitoring.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Mark W. Kowlzan</w:t>
            </w:r>
          </w:p>
        </w:tc>
        <w:tc>
          <w:tcPr>
            <w:tcW w:type="dxa" w:w="1234"/>
          </w:tcPr>
          <w:p>
            <w:r>
              <w:rPr>
                <w:rFonts w:ascii="Calibri" w:hAnsi="Calibri"/>
                <w:sz w:val="22"/>
              </w:rPr>
              <w:t>Chairman &amp; CEO, Director</w:t>
            </w:r>
          </w:p>
        </w:tc>
        <w:tc>
          <w:tcPr>
            <w:tcW w:type="dxa" w:w="1234"/>
          </w:tcPr>
          <w:p>
            <w:r>
              <w:rPr>
                <w:rFonts w:ascii="Calibri" w:hAnsi="Calibri"/>
                <w:b/>
                <w:color w:val="E5484D"/>
                <w:sz w:val="22"/>
              </w:rPr>
              <w:t>Open Market Sale</w:t>
            </w:r>
          </w:p>
        </w:tc>
        <w:tc>
          <w:tcPr>
            <w:tcW w:type="dxa" w:w="1234"/>
          </w:tcPr>
          <w:p>
            <w:r>
              <w:rPr>
                <w:rFonts w:ascii="Calibri" w:hAnsi="Calibri"/>
                <w:sz w:val="22"/>
              </w:rPr>
              <w:t>9,266 shares</w:t>
            </w:r>
          </w:p>
        </w:tc>
        <w:tc>
          <w:tcPr>
            <w:tcW w:type="dxa" w:w="1234"/>
          </w:tcPr>
          <w:p>
            <w:r>
              <w:rPr>
                <w:rFonts w:ascii="Calibri" w:hAnsi="Calibri"/>
                <w:sz w:val="22"/>
              </w:rPr>
              <w:t>~$2.0M (est. at ~$218/share)</w:t>
            </w:r>
          </w:p>
        </w:tc>
        <w:tc>
          <w:tcPr>
            <w:tcW w:type="dxa" w:w="1234"/>
          </w:tcPr>
          <w:p>
            <w:r>
              <w:rPr>
                <w:rFonts w:ascii="Calibri" w:hAnsi="Calibri"/>
                <w:sz w:val="22"/>
              </w:rPr>
              <w:t>May 27, 2026 (filed May 28, 2026)</w:t>
            </w:r>
          </w:p>
        </w:tc>
        <w:tc>
          <w:tcPr>
            <w:tcW w:type="dxa" w:w="1234"/>
          </w:tcPr>
          <w:p>
            <w:r>
              <w:rPr>
                <w:rFonts w:ascii="Calibri" w:hAnsi="Calibri"/>
                <w:sz w:val="22"/>
              </w:rPr>
              <w:t>Discretionary open-market sale; NOT under a 10b5-1 plan. Retained 473,610 shares post-sale (~1.9% of holdings sold). No stated rationale.</w:t>
            </w:r>
          </w:p>
        </w:tc>
      </w:tr>
    </w:tbl>
    <w:p>
      <w:r>
        <w:rPr>
          <w:rFonts w:ascii="Calibri" w:hAnsi="Calibri"/>
          <w:b/>
          <w:color w:val="525866"/>
          <w:sz w:val="22"/>
        </w:rPr>
        <w:t xml:space="preserve">Source: </w:t>
      </w:r>
      <w:r>
        <w:rPr>
          <w:rFonts w:ascii="Calibri" w:hAnsi="Calibri"/>
          <w:color w:val="525866"/>
          <w:sz w:val="22"/>
        </w:rPr>
        <w:t>SEC Form 4 filing, KOWLZAN MARK W (PKG), filed May 28, 2026. Transaction code: S (open-market sale). Insider Transaction Data (SEC Form 4 Filings Database).</w:t>
      </w:r>
    </w:p>
    <w:p>
      <w:r>
        <w:rPr>
          <w:rFonts w:ascii="Calibri" w:hAnsi="Calibri"/>
          <w:b/>
          <w:color w:val="525866"/>
          <w:sz w:val="22"/>
        </w:rPr>
        <w:t xml:space="preserve">Context: </w:t>
      </w:r>
      <w:r>
        <w:rPr>
          <w:rFonts w:ascii="Calibri" w:hAnsi="Calibri"/>
          <w:color w:val="525866"/>
          <w:sz w:val="22"/>
        </w:rPr>
        <w:t>The sale occurred approximately five weeks after the Q1 earnings beat and approximately one week before the June 1 second price increase announcement. While the timing is not inherently alarming — CEO sales are common for diversification and liquidity purposes — the absence of a 10b5-1 plan means this was a discretionary decision. No other insider transactions (purchases or sales) were filed in the April 22 – July 21, 2026 window. The lack of insider buying ahead of what management has publicly described as a strong Q3 setup is a mild negative signal, though the CEO's retention of 473,610 shares (valued at ~$108M at current prices) indicates continued substantial alignment with shareholders.</w:t>
      </w:r>
    </w:p>
    <w:p>
      <w:r>
        <w:br w:type="page"/>
      </w:r>
    </w:p>
    <w:p>
      <w:pPr>
        <w:pStyle w:val="Heading2"/>
      </w:pPr>
      <w:r>
        <w:rPr>
          <w:rFonts w:ascii="Calibri" w:hAnsi="Calibri"/>
          <w:b/>
          <w:color w:val="3B4259"/>
          <w:sz w:val="28"/>
        </w:rPr>
        <w:t>8. Peer Commentary / Read-Through</w:t>
      </w:r>
    </w:p>
    <w:p>
      <w:pPr>
        <w:pStyle w:val="Heading3"/>
      </w:pPr>
      <w:r>
        <w:rPr>
          <w:rFonts w:ascii="Calibri" w:hAnsi="Calibri"/>
          <w:b/>
          <w:color w:val="3B4259"/>
          <w:sz w:val="24"/>
        </w:rPr>
        <w:t>Screening Criteria</w:t>
      </w:r>
    </w:p>
    <w:p>
      <w:r>
        <w:rPr>
          <w:rFonts w:ascii="Calibri" w:hAnsi="Calibri"/>
          <w:color w:val="525866"/>
          <w:sz w:val="22"/>
        </w:rPr>
        <w:t xml:space="preserve">This section includes </w:t>
      </w:r>
      <w:r>
        <w:rPr>
          <w:rFonts w:ascii="Calibri" w:hAnsi="Calibri"/>
          <w:b/>
          <w:color w:val="525866"/>
          <w:sz w:val="22"/>
        </w:rPr>
        <w:t>only peer commentary from May 22 – July 21, 2026</w:t>
      </w:r>
      <w:r>
        <w:rPr>
          <w:rFonts w:ascii="Calibri" w:hAnsi="Calibri"/>
          <w:color w:val="525866"/>
          <w:sz w:val="22"/>
        </w:rPr>
        <w:t xml:space="preserve"> that explicitly addresses the peer’s own Q2 2026 / current June-quarter conditions (demand, volume, pricing, costs, or outlook). Stale Q1 2025 result commentary and any peer remarks about prior-quarter results are excluded. One qualifying peer source was identified: Graphic Packaging Holding Company (GPK) at the Wells Fargo Industrials &amp; Materials Conference on June 9, 2026.</w:t>
      </w:r>
    </w:p>
    <w:p>
      <w:r>
        <w:rPr>
          <w:rFonts w:ascii="Calibri" w:hAnsi="Calibri"/>
          <w:b/>
          <w:color w:val="525866"/>
          <w:sz w:val="22"/>
        </w:rPr>
        <w:t xml:space="preserve">Note on peer universe: </w:t>
      </w:r>
      <w:r>
        <w:rPr>
          <w:rFonts w:ascii="Calibri" w:hAnsi="Calibri"/>
          <w:color w:val="525866"/>
          <w:sz w:val="22"/>
        </w:rPr>
        <w:t>International Paper (IP), Sonoco (SON), and Sealed Air (SEE) have not yet reported Q2 2026 results and did not present at conferences within the screening window with Q2-specific commentary. WCC (Wesco) is a distributor and not a direct packaging peer. GPK is the only qualifying peer with on-point Q2 2026 commentary within the window.</w:t>
      </w:r>
    </w:p>
    <w:p>
      <w:pPr>
        <w:pStyle w:val="Heading3"/>
      </w:pPr>
      <w:r>
        <w:rPr>
          <w:rFonts w:ascii="Calibri" w:hAnsi="Calibri"/>
          <w:b/>
          <w:color w:val="3B4259"/>
          <w:sz w:val="24"/>
        </w:rPr>
        <w:t>Graphic Packaging Holding Company (GPK) — Wells Fargo Industrials &amp; Materials Conference, June 9, 2026</w:t>
      </w:r>
    </w:p>
    <w:p>
      <w:r>
        <w:rPr>
          <w:rFonts w:ascii="Calibri" w:hAnsi="Calibri"/>
          <w:b/>
          <w:color w:val="525866"/>
          <w:sz w:val="22"/>
        </w:rPr>
        <w:t xml:space="preserve">Presenter: </w:t>
      </w:r>
      <w:r>
        <w:rPr>
          <w:rFonts w:ascii="Calibri" w:hAnsi="Calibri"/>
          <w:color w:val="525866"/>
          <w:sz w:val="22"/>
        </w:rPr>
        <w:t>Robbert Rietbroek (CEO) and Charles Lischer (Interim CFO). GPK is a leading producer of paperboard and fiber-based consumer packaging (folding carton, cup stock, coated unbleached kraft). While GPK’s primary products differ from PKG’s corrugated containerboard, both companies share exposure to fiber input costs, freight/logistics inflation, energy costs, and broad consumer-facing end markets.</w:t>
      </w:r>
    </w:p>
    <w:p>
      <w:pPr>
        <w:pStyle w:val="Heading4"/>
      </w:pPr>
      <w:r>
        <w:rPr>
          <w:rFonts w:ascii="Calibri" w:hAnsi="Calibri"/>
          <w:b/>
          <w:color w:val="3B4259"/>
          <w:sz w:val="22"/>
        </w:rPr>
        <w:t>Direct Read-Through (High Relevance — Shared Cost Drivers)</w:t>
      </w:r>
    </w:p>
    <w:p>
      <w:pPr>
        <w:pStyle w:val="ListBullet"/>
        <w:ind w:left="360" w:hanging="360"/>
      </w:pPr>
      <w:r>
        <w:rPr>
          <w:rFonts w:ascii="Calibri" w:hAnsi="Calibri"/>
          <w:b/>
          <w:color w:val="525866"/>
          <w:sz w:val="22"/>
        </w:rPr>
        <w:t>Freight &amp; Diesel Inflation Confirmed as Persistent:</w:t>
      </w:r>
      <w:r>
        <w:rPr>
          <w:rFonts w:ascii="Calibri" w:hAnsi="Calibri"/>
          <w:color w:val="525866"/>
          <w:sz w:val="22"/>
        </w:rPr>
        <w:t xml:space="preserve"> GPK CEO Rietbroek identified "transport, logistics, oil and gas prices" as the primary drivers of cost volatility in Q2 2026, stating "Diesel affects everything." GPK is experiencing approximately $25–30/ton of transportation inflation on the paper side. Rietbroek noted that some of this inflation is "permanent in nature" due to capacity reductions in the market. </w:t>
      </w:r>
      <w:r>
        <w:rPr>
          <w:rFonts w:ascii="Calibri" w:hAnsi="Calibri"/>
          <w:b/>
          <w:color w:val="525866"/>
          <w:sz w:val="22"/>
        </w:rPr>
        <w:t xml:space="preserve">PKG read-through: </w:t>
      </w:r>
      <w:r>
        <w:rPr>
          <w:rFonts w:ascii="Calibri" w:hAnsi="Calibri"/>
          <w:color w:val="525866"/>
          <w:sz w:val="22"/>
        </w:rPr>
        <w:t>Directly corroborates PKG management’s own disclosure of $10–12M freight unfavorability to Q2 guidance. The persistence of diesel-driven freight inflation supports PKG’s characterization of freight as a Q2 headwind with no June relief expected. Both companies are experiencing the same macro cost driver.</w:t>
      </w:r>
    </w:p>
    <w:p>
      <w:pPr>
        <w:pStyle w:val="ListBullet"/>
        <w:ind w:left="360" w:hanging="360"/>
      </w:pPr>
      <w:r>
        <w:rPr>
          <w:rFonts w:ascii="Calibri" w:hAnsi="Calibri"/>
          <w:b/>
          <w:color w:val="525866"/>
          <w:sz w:val="22"/>
        </w:rPr>
        <w:t>Industry-Wide Cost Inflation Running Ahead of Plans:</w:t>
      </w:r>
      <w:r>
        <w:rPr>
          <w:rFonts w:ascii="Calibri" w:hAnsi="Calibri"/>
          <w:color w:val="525866"/>
          <w:sz w:val="22"/>
        </w:rPr>
        <w:t xml:space="preserve"> GPK disclosed it is facing "about $65 million more inflation than originally anticipated in the annual operating plan and guidance" for 2026, which it is working to offset through pricing and cost actions. </w:t>
      </w:r>
      <w:r>
        <w:rPr>
          <w:rFonts w:ascii="Calibri" w:hAnsi="Calibri"/>
          <w:b/>
          <w:color w:val="525866"/>
          <w:sz w:val="22"/>
        </w:rPr>
        <w:t xml:space="preserve">PKG read-through: </w:t>
      </w:r>
      <w:r>
        <w:rPr>
          <w:rFonts w:ascii="Calibri" w:hAnsi="Calibri"/>
          <w:color w:val="525866"/>
          <w:sz w:val="22"/>
        </w:rPr>
        <w:t>Supports the view that PKG’s own cost overruns (freight, recycled fiber) are an industry-wide phenomenon rather than company-specific execution issues. The magnitude of GPK’s inflation surprise ($65M) relative to its size suggests the inflationary environment is more severe than most companies planned for at the start of 2026.</w:t>
      </w:r>
    </w:p>
    <w:p>
      <w:pPr>
        <w:pStyle w:val="ListBullet"/>
        <w:ind w:left="360" w:hanging="360"/>
      </w:pPr>
      <w:r>
        <w:rPr>
          <w:rFonts w:ascii="Calibri" w:hAnsi="Calibri"/>
          <w:b/>
          <w:color w:val="525866"/>
          <w:sz w:val="22"/>
        </w:rPr>
        <w:t>Price Increases Being Implemented Industry-Wide:</w:t>
      </w:r>
      <w:r>
        <w:rPr>
          <w:rFonts w:ascii="Calibri" w:hAnsi="Calibri"/>
          <w:color w:val="525866"/>
          <w:sz w:val="22"/>
        </w:rPr>
        <w:t xml:space="preserve"> GPK confirmed it is implementing price increases across cup stock (bleached and unbleached) and folding carton for June 2026, driven by the "tremendous amount of inflation in the business." GPK also referenced $1 billion of packaging price increases announced on its Q1 call. </w:t>
      </w:r>
      <w:r>
        <w:rPr>
          <w:rFonts w:ascii="Calibri" w:hAnsi="Calibri"/>
          <w:b/>
          <w:color w:val="525866"/>
          <w:sz w:val="22"/>
        </w:rPr>
        <w:t xml:space="preserve">PKG read-through: </w:t>
      </w:r>
      <w:r>
        <w:rPr>
          <w:rFonts w:ascii="Calibri" w:hAnsi="Calibri"/>
          <w:color w:val="525866"/>
          <w:sz w:val="22"/>
        </w:rPr>
        <w:t>The broad-based industry move to implement price increases in June 2026 is consistent with and supportive of PKG’s own $50/ton containerboard price increase implementation. A coordinated industry pricing environment reduces the risk of PKG losing volume to competitors unwilling to raise prices.</w:t>
      </w:r>
    </w:p>
    <w:p>
      <w:pPr>
        <w:pStyle w:val="ListBullet"/>
        <w:ind w:left="360" w:hanging="360"/>
      </w:pPr>
      <w:r>
        <w:rPr>
          <w:rFonts w:ascii="Calibri" w:hAnsi="Calibri"/>
          <w:b/>
          <w:color w:val="525866"/>
          <w:sz w:val="22"/>
        </w:rPr>
        <w:t>Back-Half Weighted Performance Profile:</w:t>
      </w:r>
      <w:r>
        <w:rPr>
          <w:rFonts w:ascii="Calibri" w:hAnsi="Calibri"/>
          <w:color w:val="525866"/>
          <w:sz w:val="22"/>
        </w:rPr>
        <w:t xml:space="preserve"> GPK explicitly described its 2026 performance as "back-end weighted," citing $25M of weather impact in H1, $20M of higher maintenance in H1 vs. H2, and $20M of additional production curtailments in H1. GPK expects significantly improved free cash flow in H2 2026 ($700–800M for the full year vs. under $200M in 2025). </w:t>
      </w:r>
      <w:r>
        <w:rPr>
          <w:rFonts w:ascii="Calibri" w:hAnsi="Calibri"/>
          <w:b/>
          <w:color w:val="525866"/>
          <w:sz w:val="22"/>
        </w:rPr>
        <w:t xml:space="preserve">PKG read-through: </w:t>
      </w:r>
      <w:r>
        <w:rPr>
          <w:rFonts w:ascii="Calibri" w:hAnsi="Calibri"/>
          <w:color w:val="525866"/>
          <w:sz w:val="22"/>
        </w:rPr>
        <w:t>Strongly corroborates PKG’s own back-half weighted setup, where Q3 is the key earnings inflection quarter driven by price realization from dual $50/ton increases and lower outage expense ($0.31 in Q3 vs. $0.36 in Q2). The shared back-half weighting across the packaging industry reduces the risk that PKG’s Q3 setup is company-specific or overly optimistic.</w:t>
      </w:r>
    </w:p>
    <w:p>
      <w:pPr>
        <w:pStyle w:val="Heading4"/>
      </w:pPr>
      <w:r>
        <w:rPr>
          <w:rFonts w:ascii="Calibri" w:hAnsi="Calibri"/>
          <w:b/>
          <w:color w:val="3B4259"/>
          <w:sz w:val="22"/>
        </w:rPr>
        <w:t>Indirect Read-Through (Moderate Relevance — Shared End Markets / Macro)</w:t>
      </w:r>
    </w:p>
    <w:p>
      <w:pPr>
        <w:pStyle w:val="ListBullet"/>
        <w:ind w:left="360" w:hanging="360"/>
      </w:pPr>
      <w:r>
        <w:rPr>
          <w:rFonts w:ascii="Calibri" w:hAnsi="Calibri"/>
          <w:b/>
          <w:color w:val="525866"/>
          <w:sz w:val="22"/>
        </w:rPr>
        <w:t>Consumer Demand Remains Resilient Despite Macro Headwinds:</w:t>
      </w:r>
      <w:r>
        <w:rPr>
          <w:rFonts w:ascii="Calibri" w:hAnsi="Calibri"/>
          <w:color w:val="525866"/>
          <w:sz w:val="22"/>
        </w:rPr>
        <w:t xml:space="preserve"> GPK CEO Rietbroek described demand as "very resilient" across food, beverage, household, and health/beauty categories, with "no signs of inventory buildup" from customers. However, he also noted a "challenged consumer" with a "value orientation" and consumer fatigue from inflation. </w:t>
      </w:r>
      <w:r>
        <w:rPr>
          <w:rFonts w:ascii="Calibri" w:hAnsi="Calibri"/>
          <w:b/>
          <w:color w:val="525866"/>
          <w:sz w:val="22"/>
        </w:rPr>
        <w:t xml:space="preserve">PKG read-through (indirect): </w:t>
      </w:r>
      <w:r>
        <w:rPr>
          <w:rFonts w:ascii="Calibri" w:hAnsi="Calibri"/>
          <w:color w:val="525866"/>
          <w:sz w:val="22"/>
        </w:rPr>
        <w:t>GPK’s consumer-facing end markets (food, beverage, household) overlap with PKG’s corrugated customer base. Resilient demand at the consumer staples level is a positive read-through for PKG’s corrugated volumes, though GPK’s "challenged consumer" commentary is a mild caution for discretionary end markets. PKG’s own volume data (legacy +4.5% April, +3.5% May) is more directly informative.</w:t>
      </w:r>
    </w:p>
    <w:p>
      <w:pPr>
        <w:pStyle w:val="ListBullet"/>
        <w:ind w:left="360" w:hanging="360"/>
      </w:pPr>
      <w:r>
        <w:rPr>
          <w:rFonts w:ascii="Calibri" w:hAnsi="Calibri"/>
          <w:b/>
          <w:color w:val="525866"/>
          <w:sz w:val="22"/>
        </w:rPr>
        <w:t>Inventory Management: Destocking Trend Across the Industry:</w:t>
      </w:r>
      <w:r>
        <w:rPr>
          <w:rFonts w:ascii="Calibri" w:hAnsi="Calibri"/>
          <w:color w:val="525866"/>
          <w:sz w:val="22"/>
        </w:rPr>
        <w:t xml:space="preserve"> GPK reported a $50M inventory decline in Q1 2026 (vs. a $60M build in the prior year Q1) and plans to reduce inventory by $130M for the full year 2026. GPK noted that "due to the seasonality of the business, we do generally have more of an inventory build in the first half and then we harvest that more in the second half." </w:t>
      </w:r>
      <w:r>
        <w:rPr>
          <w:rFonts w:ascii="Calibri" w:hAnsi="Calibri"/>
          <w:b/>
          <w:color w:val="525866"/>
          <w:sz w:val="22"/>
        </w:rPr>
        <w:t xml:space="preserve">PKG read-through (indirect): </w:t>
      </w:r>
      <w:r>
        <w:rPr>
          <w:rFonts w:ascii="Calibri" w:hAnsi="Calibri"/>
          <w:color w:val="525866"/>
          <w:sz w:val="22"/>
        </w:rPr>
        <w:t>Industry-wide inventory destocking at the packaging producer level is consistent with PKG’s own decision to draw down 90,000+ tons of containerboard inventory in March–April and then rebuild in May–June. The broader destocking trend suggests customers are operating lean, which supports PKG’s observation of no pre-buy activity and continued tight supply conditions.</w:t>
      </w:r>
    </w:p>
    <w:p>
      <w:pPr>
        <w:pStyle w:val="ListBullet"/>
        <w:ind w:left="360" w:hanging="360"/>
      </w:pPr>
      <w:r>
        <w:rPr>
          <w:rFonts w:ascii="Calibri" w:hAnsi="Calibri"/>
          <w:b/>
          <w:color w:val="525866"/>
          <w:sz w:val="22"/>
        </w:rPr>
        <w:t>Nippon Dynawave Mill Incident — Limited Direct Impact:</w:t>
      </w:r>
      <w:r>
        <w:rPr>
          <w:rFonts w:ascii="Calibri" w:hAnsi="Calibri"/>
          <w:color w:val="525866"/>
          <w:sz w:val="22"/>
        </w:rPr>
        <w:t xml:space="preserve"> GPK stated the Pacific Northwest mill incident (Nippon Dynawave, May 26) had "minimal" impact on its market, as the affected mill primarily produced liquid packaging board for Japan. </w:t>
      </w:r>
      <w:r>
        <w:rPr>
          <w:rFonts w:ascii="Calibri" w:hAnsi="Calibri"/>
          <w:b/>
          <w:color w:val="525866"/>
          <w:sz w:val="22"/>
        </w:rPr>
        <w:t xml:space="preserve">PKG read-through (indirect): </w:t>
      </w:r>
      <w:r>
        <w:rPr>
          <w:rFonts w:ascii="Calibri" w:hAnsi="Calibri"/>
          <w:color w:val="525866"/>
          <w:sz w:val="22"/>
        </w:rPr>
        <w:t>Consistent with PKG management’s own statement that the incident has not resulted in any observable change in PKG’s order book. The event is a modest incremental positive for containerboard supply tightness but not a material demand driver for PKG.</w:t>
      </w:r>
    </w:p>
    <w:p>
      <w:pPr>
        <w:pStyle w:val="Heading4"/>
      </w:pPr>
      <w:r>
        <w:rPr>
          <w:rFonts w:ascii="Calibri" w:hAnsi="Calibri"/>
          <w:b/>
          <w:color w:val="3B4259"/>
          <w:sz w:val="22"/>
        </w:rPr>
        <w:t>Not Relevant / Excluded</w:t>
      </w:r>
    </w:p>
    <w:p>
      <w:pPr>
        <w:pStyle w:val="ListBullet"/>
        <w:ind w:left="360" w:hanging="360"/>
      </w:pPr>
      <w:r>
        <w:rPr>
          <w:rFonts w:ascii="Calibri" w:hAnsi="Calibri"/>
          <w:color w:val="525866"/>
          <w:sz w:val="22"/>
        </w:rPr>
        <w:t>GPK-specific financial guidance ($230–250M Q2 EBITDA), product-specific innovations (KeelClips, fridge packs, fruit trays), plastic-to-paper conversion addressable market ($15B), Croatia facility divestiture, and European regulatory dynamics are specific to GPK’s consumer packaging business and are not read-throughs for PKG’s corrugated containerboard operations.</w:t>
      </w:r>
    </w:p>
    <w:p>
      <w:pPr>
        <w:pStyle w:val="Heading4"/>
      </w:pPr>
      <w:r>
        <w:rPr>
          <w:rFonts w:ascii="Calibri" w:hAnsi="Calibri"/>
          <w:b/>
          <w:color w:val="3B4259"/>
          <w:sz w:val="22"/>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GPK Theme (June 9, 2026)</w:t>
            </w:r>
          </w:p>
        </w:tc>
        <w:tc>
          <w:tcPr>
            <w:tcW w:type="dxa" w:w="2160"/>
            <w:shd w:val="clear" w:color="auto" w:fill="3B4259"/>
          </w:tcPr>
          <w:p>
            <w:r>
              <w:rPr>
                <w:rFonts w:ascii="Calibri" w:hAnsi="Calibri"/>
                <w:b/>
                <w:color w:val="FFFFFF"/>
                <w:sz w:val="22"/>
              </w:rPr>
              <w:t>Read-Through Type</w:t>
            </w:r>
          </w:p>
        </w:tc>
        <w:tc>
          <w:tcPr>
            <w:tcW w:type="dxa" w:w="2160"/>
            <w:shd w:val="clear" w:color="auto" w:fill="3B4259"/>
          </w:tcPr>
          <w:p>
            <w:r>
              <w:rPr>
                <w:rFonts w:ascii="Calibri" w:hAnsi="Calibri"/>
                <w:b/>
                <w:color w:val="FFFFFF"/>
                <w:sz w:val="22"/>
              </w:rPr>
              <w:t>Signal for PKG Q2 2026</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Freight/diesel inflation: $25–30/ton on paper; "diesel affects everything"</w:t>
            </w:r>
          </w:p>
        </w:tc>
        <w:tc>
          <w:tcPr>
            <w:tcW w:type="dxa" w:w="2160"/>
          </w:tcPr>
          <w:p>
            <w:r>
              <w:rPr>
                <w:rFonts w:ascii="Calibri" w:hAnsi="Calibri"/>
                <w:sz w:val="22"/>
              </w:rPr>
              <w:t>Direct</w:t>
            </w:r>
          </w:p>
        </w:tc>
        <w:tc>
          <w:tcPr>
            <w:tcW w:type="dxa" w:w="2160"/>
          </w:tcPr>
          <w:p>
            <w:r>
              <w:rPr>
                <w:rFonts w:ascii="Calibri" w:hAnsi="Calibri"/>
                <w:sz w:val="22"/>
              </w:rPr>
              <w:t>Corroborates PKG’s $10–12M freight headwind; confirms industry-wide, not company-specific</w:t>
            </w:r>
          </w:p>
        </w:tc>
        <w:tc>
          <w:tcPr>
            <w:tcW w:type="dxa" w:w="2160"/>
          </w:tcPr>
          <w:p>
            <w:r>
              <w:rPr>
                <w:rFonts w:ascii="Calibri" w:hAnsi="Calibri"/>
                <w:b/>
                <w:color w:val="E5484D"/>
                <w:sz w:val="22"/>
              </w:rPr>
              <w:t>Neutral (confirms known headwind)</w:t>
            </w:r>
          </w:p>
        </w:tc>
      </w:tr>
      <w:tr>
        <w:tc>
          <w:tcPr>
            <w:tcW w:type="dxa" w:w="2160"/>
          </w:tcPr>
          <w:p>
            <w:r>
              <w:rPr>
                <w:rFonts w:ascii="Calibri" w:hAnsi="Calibri"/>
                <w:sz w:val="22"/>
              </w:rPr>
              <w:t>$65M more inflation than planned in 2026 AOP</w:t>
            </w:r>
          </w:p>
        </w:tc>
        <w:tc>
          <w:tcPr>
            <w:tcW w:type="dxa" w:w="2160"/>
          </w:tcPr>
          <w:p>
            <w:r>
              <w:rPr>
                <w:rFonts w:ascii="Calibri" w:hAnsi="Calibri"/>
                <w:sz w:val="22"/>
              </w:rPr>
              <w:t>Direct</w:t>
            </w:r>
          </w:p>
        </w:tc>
        <w:tc>
          <w:tcPr>
            <w:tcW w:type="dxa" w:w="2160"/>
          </w:tcPr>
          <w:p>
            <w:r>
              <w:rPr>
                <w:rFonts w:ascii="Calibri" w:hAnsi="Calibri"/>
                <w:sz w:val="22"/>
              </w:rPr>
              <w:t>Industry-wide cost overrun; PKG’s freight/fiber overruns are not idiosyncratic</w:t>
            </w:r>
          </w:p>
        </w:tc>
        <w:tc>
          <w:tcPr>
            <w:tcW w:type="dxa" w:w="2160"/>
          </w:tcPr>
          <w:p>
            <w:r>
              <w:rPr>
                <w:rFonts w:ascii="Calibri" w:hAnsi="Calibri"/>
                <w:b/>
                <w:color w:val="E5484D"/>
                <w:sz w:val="22"/>
              </w:rPr>
              <w:t>Neutral (confirms known headwind)</w:t>
            </w:r>
          </w:p>
        </w:tc>
      </w:tr>
      <w:tr>
        <w:tc>
          <w:tcPr>
            <w:tcW w:type="dxa" w:w="2160"/>
          </w:tcPr>
          <w:p>
            <w:r>
              <w:rPr>
                <w:rFonts w:ascii="Calibri" w:hAnsi="Calibri"/>
                <w:sz w:val="22"/>
              </w:rPr>
              <w:t>June 2026 price increases implemented across paperboard products</w:t>
            </w:r>
          </w:p>
        </w:tc>
        <w:tc>
          <w:tcPr>
            <w:tcW w:type="dxa" w:w="2160"/>
          </w:tcPr>
          <w:p>
            <w:r>
              <w:rPr>
                <w:rFonts w:ascii="Calibri" w:hAnsi="Calibri"/>
                <w:sz w:val="22"/>
              </w:rPr>
              <w:t>Direct</w:t>
            </w:r>
          </w:p>
        </w:tc>
        <w:tc>
          <w:tcPr>
            <w:tcW w:type="dxa" w:w="2160"/>
          </w:tcPr>
          <w:p>
            <w:r>
              <w:rPr>
                <w:rFonts w:ascii="Calibri" w:hAnsi="Calibri"/>
                <w:sz w:val="22"/>
              </w:rPr>
              <w:t>Supportive pricing environment; reduces risk of PKG losing volume to non-raising competitors</w:t>
            </w:r>
          </w:p>
        </w:tc>
        <w:tc>
          <w:tcPr>
            <w:tcW w:type="dxa" w:w="2160"/>
          </w:tcPr>
          <w:p>
            <w:r>
              <w:rPr>
                <w:rFonts w:ascii="Calibri" w:hAnsi="Calibri"/>
                <w:b/>
                <w:color w:val="30A46C"/>
                <w:sz w:val="22"/>
              </w:rPr>
              <w:t>Positive</w:t>
            </w:r>
          </w:p>
        </w:tc>
      </w:tr>
      <w:tr>
        <w:tc>
          <w:tcPr>
            <w:tcW w:type="dxa" w:w="2160"/>
          </w:tcPr>
          <w:p>
            <w:r>
              <w:rPr>
                <w:rFonts w:ascii="Calibri" w:hAnsi="Calibri"/>
                <w:sz w:val="22"/>
              </w:rPr>
              <w:t>2026 performance "back-end weighted"; H1 headwinds from maintenance, weather, curtailments</w:t>
            </w:r>
          </w:p>
        </w:tc>
        <w:tc>
          <w:tcPr>
            <w:tcW w:type="dxa" w:w="2160"/>
          </w:tcPr>
          <w:p>
            <w:r>
              <w:rPr>
                <w:rFonts w:ascii="Calibri" w:hAnsi="Calibri"/>
                <w:sz w:val="22"/>
              </w:rPr>
              <w:t>Direct</w:t>
            </w:r>
          </w:p>
        </w:tc>
        <w:tc>
          <w:tcPr>
            <w:tcW w:type="dxa" w:w="2160"/>
          </w:tcPr>
          <w:p>
            <w:r>
              <w:rPr>
                <w:rFonts w:ascii="Calibri" w:hAnsi="Calibri"/>
                <w:sz w:val="22"/>
              </w:rPr>
              <w:t>Validates PKG’s Q3 inflection thesis as an industry-wide pattern, not company-specific optimism</w:t>
            </w:r>
          </w:p>
        </w:tc>
        <w:tc>
          <w:tcPr>
            <w:tcW w:type="dxa" w:w="2160"/>
          </w:tcPr>
          <w:p>
            <w:r>
              <w:rPr>
                <w:rFonts w:ascii="Calibri" w:hAnsi="Calibri"/>
                <w:b/>
                <w:color w:val="30A46C"/>
                <w:sz w:val="22"/>
              </w:rPr>
              <w:t>Positive</w:t>
            </w:r>
          </w:p>
        </w:tc>
      </w:tr>
      <w:tr>
        <w:tc>
          <w:tcPr>
            <w:tcW w:type="dxa" w:w="2160"/>
          </w:tcPr>
          <w:p>
            <w:r>
              <w:rPr>
                <w:rFonts w:ascii="Calibri" w:hAnsi="Calibri"/>
                <w:sz w:val="22"/>
              </w:rPr>
              <w:t>Consumer demand "very resilient"; no inventory buildup; but "challenged consumer"</w:t>
            </w:r>
          </w:p>
        </w:tc>
        <w:tc>
          <w:tcPr>
            <w:tcW w:type="dxa" w:w="2160"/>
          </w:tcPr>
          <w:p>
            <w:r>
              <w:rPr>
                <w:rFonts w:ascii="Calibri" w:hAnsi="Calibri"/>
                <w:sz w:val="22"/>
              </w:rPr>
              <w:t>Indirect</w:t>
            </w:r>
          </w:p>
        </w:tc>
        <w:tc>
          <w:tcPr>
            <w:tcW w:type="dxa" w:w="2160"/>
          </w:tcPr>
          <w:p>
            <w:r>
              <w:rPr>
                <w:rFonts w:ascii="Calibri" w:hAnsi="Calibri"/>
                <w:sz w:val="22"/>
              </w:rPr>
              <w:t>Broadly supportive of PKG’s corrugated volume trends; mild caution on discretionary end markets</w:t>
            </w:r>
          </w:p>
        </w:tc>
        <w:tc>
          <w:tcPr>
            <w:tcW w:type="dxa" w:w="2160"/>
          </w:tcPr>
          <w:p>
            <w:r>
              <w:rPr>
                <w:rFonts w:ascii="Calibri" w:hAnsi="Calibri"/>
                <w:b/>
                <w:color w:val="30A46C"/>
                <w:sz w:val="22"/>
              </w:rPr>
              <w:t>Mildly Positive</w:t>
            </w:r>
          </w:p>
        </w:tc>
      </w:tr>
      <w:tr>
        <w:tc>
          <w:tcPr>
            <w:tcW w:type="dxa" w:w="2160"/>
          </w:tcPr>
          <w:p>
            <w:r>
              <w:rPr>
                <w:rFonts w:ascii="Calibri" w:hAnsi="Calibri"/>
                <w:sz w:val="22"/>
              </w:rPr>
              <w:t>Industry inventory destocking; $130M inventory reduction planned for 2026</w:t>
            </w:r>
          </w:p>
        </w:tc>
        <w:tc>
          <w:tcPr>
            <w:tcW w:type="dxa" w:w="2160"/>
          </w:tcPr>
          <w:p>
            <w:r>
              <w:rPr>
                <w:rFonts w:ascii="Calibri" w:hAnsi="Calibri"/>
                <w:sz w:val="22"/>
              </w:rPr>
              <w:t>Indirect</w:t>
            </w:r>
          </w:p>
        </w:tc>
        <w:tc>
          <w:tcPr>
            <w:tcW w:type="dxa" w:w="2160"/>
          </w:tcPr>
          <w:p>
            <w:r>
              <w:rPr>
                <w:rFonts w:ascii="Calibri" w:hAnsi="Calibri"/>
                <w:sz w:val="22"/>
              </w:rPr>
              <w:t>Consistent with lean customer inventories and tight supply; supports PKG’s no-pre-buy observation</w:t>
            </w:r>
          </w:p>
        </w:tc>
        <w:tc>
          <w:tcPr>
            <w:tcW w:type="dxa" w:w="2160"/>
          </w:tcPr>
          <w:p>
            <w:r>
              <w:rPr>
                <w:rFonts w:ascii="Calibri" w:hAnsi="Calibri"/>
                <w:b/>
                <w:color w:val="30A46C"/>
                <w:sz w:val="22"/>
              </w:rPr>
              <w:t>Mildly Positive</w:t>
            </w:r>
          </w:p>
        </w:tc>
      </w:tr>
      <w:tr>
        <w:tc>
          <w:tcPr>
            <w:tcW w:type="dxa" w:w="2160"/>
          </w:tcPr>
          <w:p>
            <w:r>
              <w:rPr>
                <w:rFonts w:ascii="Calibri" w:hAnsi="Calibri"/>
                <w:sz w:val="22"/>
              </w:rPr>
              <w:t>Nippon Dynawave incident: "minimal" market impact (liquid packaging board, Japan-destined)</w:t>
            </w:r>
          </w:p>
        </w:tc>
        <w:tc>
          <w:tcPr>
            <w:tcW w:type="dxa" w:w="2160"/>
          </w:tcPr>
          <w:p>
            <w:r>
              <w:rPr>
                <w:rFonts w:ascii="Calibri" w:hAnsi="Calibri"/>
                <w:sz w:val="22"/>
              </w:rPr>
              <w:t>Indirect</w:t>
            </w:r>
          </w:p>
        </w:tc>
        <w:tc>
          <w:tcPr>
            <w:tcW w:type="dxa" w:w="2160"/>
          </w:tcPr>
          <w:p>
            <w:r>
              <w:rPr>
                <w:rFonts w:ascii="Calibri" w:hAnsi="Calibri"/>
                <w:sz w:val="22"/>
              </w:rPr>
              <w:t>Consistent with PKG’s own statement of no order book impact; modest supply tightness positive</w:t>
            </w:r>
          </w:p>
        </w:tc>
        <w:tc>
          <w:tcPr>
            <w:tcW w:type="dxa" w:w="2160"/>
          </w:tcPr>
          <w:p>
            <w:r>
              <w:rPr>
                <w:rFonts w:ascii="Calibri" w:hAnsi="Calibri"/>
                <w:sz w:val="22"/>
              </w:rPr>
              <w:t>Neutral / Marginally Positive</w:t>
            </w:r>
          </w:p>
        </w:tc>
      </w:tr>
    </w:tbl>
    <w:p>
      <w:r>
        <w:rPr>
          <w:rFonts w:ascii="Calibri" w:hAnsi="Calibri"/>
          <w:b/>
          <w:color w:val="525866"/>
          <w:sz w:val="22"/>
        </w:rPr>
        <w:t xml:space="preserve">Overall Peer Read-Through Assessment: </w:t>
      </w:r>
      <w:r>
        <w:rPr>
          <w:rFonts w:ascii="Calibri" w:hAnsi="Calibri"/>
          <w:color w:val="525866"/>
          <w:sz w:val="22"/>
        </w:rPr>
        <w:t>GPK’s June 9 commentary is net constructive for PKG’s Q2 2026 setup. The most important direct read-through is the industry-wide validation of freight/diesel inflation as a persistent, shared headwind — which confirms PKG’s cost overruns are not company-specific and reduces the risk of a negative market reaction to freight headwinds that are already well-telegraphed. The back-half weighted performance profile shared across the packaging industry is the most important indirect read-through, as it supports PKG’s Q3 inflection narrative and reduces the risk that the market will punish a soft Q2 print if Q3 guidance is strong. The industry-wide June price increase implementation is a modest positive, supporting the pricing environment for PKG’s own $50/ton increases. Source: GPK Wells Fargo Industrials &amp; Materials Conference transcript, June 9, 2026.</w:t>
      </w:r>
    </w:p>
    <w:p>
      <w:r>
        <w:br w:type="page"/>
      </w:r>
    </w:p>
    <w:p>
      <w:pPr>
        <w:pStyle w:val="Heading2"/>
      </w:pPr>
      <w:r>
        <w:rPr>
          <w:rFonts w:ascii="Calibri" w:hAnsi="Calibri"/>
          <w:b/>
          <w:color w:val="3B4259"/>
          <w:sz w:val="28"/>
        </w:rPr>
        <w:t>Appendix: Key Data Sources</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Data Source</w:t>
            </w:r>
          </w:p>
        </w:tc>
        <w:tc>
          <w:tcPr>
            <w:tcW w:type="dxa" w:w="4320"/>
            <w:shd w:val="clear" w:color="auto" w:fill="3B4259"/>
          </w:tcPr>
          <w:p>
            <w:r>
              <w:rPr>
                <w:rFonts w:ascii="Calibri" w:hAnsi="Calibri"/>
                <w:b/>
                <w:color w:val="FFFFFF"/>
                <w:sz w:val="22"/>
              </w:rPr>
              <w:t>Description</w:t>
            </w:r>
          </w:p>
        </w:tc>
      </w:tr>
      <w:tr>
        <w:tc>
          <w:tcPr>
            <w:tcW w:type="dxa" w:w="4320"/>
          </w:tcPr>
          <w:p>
            <w:r>
              <w:rPr>
                <w:rFonts w:ascii="Calibri" w:hAnsi="Calibri"/>
                <w:sz w:val="22"/>
              </w:rPr>
              <w:t>Visible Alpha Consensus and Actuals Data</w:t>
            </w:r>
          </w:p>
        </w:tc>
        <w:tc>
          <w:tcPr>
            <w:tcW w:type="dxa" w:w="4320"/>
          </w:tcPr>
          <w:p>
            <w:r>
              <w:rPr>
                <w:rFonts w:ascii="Calibri" w:hAnsi="Calibri"/>
                <w:sz w:val="22"/>
              </w:rPr>
              <w:t>All KPI consensus estimates and actuals (EPS, Net Sales, EBITDA, Corrugated Volume, Price Impact). Source: https://insights.visiblealpha.com/mex/PKG_US/NMV/IS and /RV</w:t>
            </w:r>
          </w:p>
        </w:tc>
      </w:tr>
      <w:tr>
        <w:tc>
          <w:tcPr>
            <w:tcW w:type="dxa" w:w="4320"/>
          </w:tcPr>
          <w:p>
            <w:r>
              <w:rPr>
                <w:rFonts w:ascii="Calibri" w:hAnsi="Calibri"/>
                <w:sz w:val="22"/>
              </w:rPr>
              <w:t>PKG Q1 2026 Earnings Call Transcript</w:t>
            </w:r>
          </w:p>
        </w:tc>
        <w:tc>
          <w:tcPr>
            <w:tcW w:type="dxa" w:w="4320"/>
          </w:tcPr>
          <w:p>
            <w:r>
              <w:rPr>
                <w:rFonts w:ascii="Calibri" w:hAnsi="Calibri"/>
                <w:sz w:val="22"/>
              </w:rPr>
              <w:t>April 23, 2026. Q2 2026 guidance, outage schedule, cost assumptions, Greif integration update, capital return.</w:t>
            </w:r>
          </w:p>
        </w:tc>
      </w:tr>
      <w:tr>
        <w:tc>
          <w:tcPr>
            <w:tcW w:type="dxa" w:w="4320"/>
          </w:tcPr>
          <w:p>
            <w:r>
              <w:rPr>
                <w:rFonts w:ascii="Calibri" w:hAnsi="Calibri"/>
                <w:sz w:val="22"/>
              </w:rPr>
              <w:t>PKG Wells Fargo Industrials &amp; Materials Conference Transcript</w:t>
            </w:r>
          </w:p>
        </w:tc>
        <w:tc>
          <w:tcPr>
            <w:tcW w:type="dxa" w:w="4320"/>
          </w:tcPr>
          <w:p>
            <w:r>
              <w:rPr>
                <w:rFonts w:ascii="Calibri" w:hAnsi="Calibri"/>
                <w:sz w:val="22"/>
              </w:rPr>
              <w:t>June 10, 2026. Mid-quarter update on volumes, freight, pricing, Greif performance, Q3 setup.</w:t>
            </w:r>
          </w:p>
        </w:tc>
      </w:tr>
      <w:tr>
        <w:tc>
          <w:tcPr>
            <w:tcW w:type="dxa" w:w="4320"/>
          </w:tcPr>
          <w:p>
            <w:r>
              <w:rPr>
                <w:rFonts w:ascii="Calibri" w:hAnsi="Calibri"/>
                <w:sz w:val="22"/>
              </w:rPr>
              <w:t>GPK Wells Fargo Industrials &amp; Materials Conference Transcript</w:t>
            </w:r>
          </w:p>
        </w:tc>
        <w:tc>
          <w:tcPr>
            <w:tcW w:type="dxa" w:w="4320"/>
          </w:tcPr>
          <w:p>
            <w:r>
              <w:rPr>
                <w:rFonts w:ascii="Calibri" w:hAnsi="Calibri"/>
                <w:sz w:val="22"/>
              </w:rPr>
              <w:t>June 9, 2026. Peer read-through on freight inflation, industry pricing, demand, back-half weighting.</w:t>
            </w:r>
          </w:p>
        </w:tc>
      </w:tr>
      <w:tr>
        <w:tc>
          <w:tcPr>
            <w:tcW w:type="dxa" w:w="4320"/>
          </w:tcPr>
          <w:p>
            <w:r>
              <w:rPr>
                <w:rFonts w:ascii="Calibri" w:hAnsi="Calibri"/>
                <w:sz w:val="22"/>
              </w:rPr>
              <w:t>Stock Price Data (Yahoo Finance)</w:t>
            </w:r>
          </w:p>
        </w:tc>
        <w:tc>
          <w:tcPr>
            <w:tcW w:type="dxa" w:w="4320"/>
          </w:tcPr>
          <w:p>
            <w:r>
              <w:rPr>
                <w:rFonts w:ascii="Calibri" w:hAnsi="Calibri"/>
                <w:sz w:val="22"/>
              </w:rPr>
              <w:t>PKG, XLB, SPY daily closing prices April 22 – July 21, 2026. Used for indexed performance chart.</w:t>
            </w:r>
          </w:p>
        </w:tc>
      </w:tr>
      <w:tr>
        <w:tc>
          <w:tcPr>
            <w:tcW w:type="dxa" w:w="4320"/>
          </w:tcPr>
          <w:p>
            <w:r>
              <w:rPr>
                <w:rFonts w:ascii="Calibri" w:hAnsi="Calibri"/>
                <w:sz w:val="22"/>
              </w:rPr>
              <w:t>SEC Form 4 Filings Database</w:t>
            </w:r>
          </w:p>
        </w:tc>
        <w:tc>
          <w:tcPr>
            <w:tcW w:type="dxa" w:w="4320"/>
          </w:tcPr>
          <w:p>
            <w:r>
              <w:rPr>
                <w:rFonts w:ascii="Calibri" w:hAnsi="Calibri"/>
                <w:sz w:val="22"/>
              </w:rPr>
              <w:t>Insider transaction data. KOWLZAN MARK W (PKG), filed May 28, 2026. https://www.sec.gov/Archives/edgar/data/75677/000119312526245605/xslF345X06/ownership.xml</w:t>
            </w:r>
          </w:p>
        </w:tc>
      </w:tr>
      <w:tr>
        <w:tc>
          <w:tcPr>
            <w:tcW w:type="dxa" w:w="4320"/>
          </w:tcPr>
          <w:p>
            <w:r>
              <w:rPr>
                <w:rFonts w:ascii="Calibri" w:hAnsi="Calibri"/>
                <w:sz w:val="22"/>
              </w:rPr>
              <w:t>PKG Earnings Schedule Press Release</w:t>
            </w:r>
          </w:p>
        </w:tc>
        <w:tc>
          <w:tcPr>
            <w:tcW w:type="dxa" w:w="4320"/>
          </w:tcPr>
          <w:p>
            <w:r>
              <w:rPr>
                <w:rFonts w:ascii="Calibri" w:hAnsi="Calibri"/>
                <w:sz w:val="22"/>
              </w:rPr>
              <w:t>June 22, 2026. Q2 2026 earnings call confirmed for July 23, 2026 at 9:00 AM ET.</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