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m-earnings-predictions--2026-07-22"/>
    <w:p>
      <w:pPr>
        <w:pStyle w:val="Heading1"/>
      </w:pPr>
      <w:r>
        <w:t xml:space="preserve">PM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~$2.09 vs. cons $2.06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~5.8%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ZYN Shipment Volume (Q2 2026, cans)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~175M vs. cons ~180M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~$8.50 (midpoint of narrowed/raised</w:t>
            </w:r>
            <w:r>
              <w:t xml:space="preserve"> </w:t>
            </w:r>
            <m:oMath>
              <m:r>
                <m:t>8.42</m:t>
              </m:r>
              <m:r>
                <m:rPr>
                  <m:sty m:val="p"/>
                </m:rPr>
                <m:t>−</m:t>
              </m:r>
            </m:oMath>
            <w:r>
              <w:t xml:space="preserve">8.58) vs. cons $8.40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Organic Net Revenue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~6.0% vs. cons 5.5%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Operating Income Growth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7-9% (~8% midpoint) vs. cons ~7.6%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+0.1% (FADE)</w:t>
            </w:r>
          </w:p>
        </w:tc>
        <w:tc>
          <w:tcPr/>
          <w:p>
            <w:pPr>
              <w:pStyle w:val="Compact"/>
            </w:pPr>
            <w:r>
              <w:t xml:space="preserve">A modest EPS/organic-revenue beat plus a small FY EPS guide raise should support an initial positive idiosyncratic pop, but three overhangs likely erode gains into day 5: (1) Japan HTU IMS growth headline deceleration (flagged as mechanical pantry-load reversal) risks an initial negative read that only partially reverses once analysts digest the explanation; (2) U.S. ZYN shipments likely stay below offtake with no concrete ZYN Ultra/FDA approval date, keeping the swing-factor bear case alive and prompting some sell-side trimming of out-quarter ZYN estimates even after a headline beat; (3) the CFO handover from Babeau to Andolina (effective Aug 1) adds a governance/continuity discount that can weigh on flows over the week. Net effect: initial pop fades toward flat as revisions settle on in-line-to-slightly-better full-year math rather than a durable re-rating.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2026-07-22T00:22:44Z</dcterms:created>
  <dcterms:modified xsi:type="dcterms:W3CDTF">2026-07-22T00:22:44Z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