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m-earnings-predictions--2026-07-22"/>
    <w:p>
      <w:pPr>
        <w:pStyle w:val="Heading1"/>
      </w:pPr>
      <w:r>
        <w:t xml:space="preserve">PM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 (2026Q2)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~$2.10 vs. cons $2.07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net revenue growth (2026Q2)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~5.4% vs. cons 5.0%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Smoke-free organic net revenue growth (2026Q2)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~10.2% vs. cons 10.3%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diluted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~$8.39 vs. cons $8.43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net 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~6.0% vs. cons 6.0%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operating income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~8.0% vs. cons 8.0%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-3.6% (FOLLOW-THROUGH)</w:t>
            </w:r>
          </w:p>
        </w:tc>
        <w:tc>
          <w:tcPr/>
          <w:p>
            <w:pPr>
              <w:pStyle w:val="Compact"/>
            </w:pPr>
            <w:r>
              <w:t xml:space="preserve">An EPS beat of ~$2.10 vs.</w:t>
            </w:r>
            <w:r>
              <w:t xml:space="preserve"> </w:t>
            </w:r>
            <m:oMath>
              <m:r>
                <m:t>2.07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p</m:t>
              </m:r>
              <m:r>
                <m:t>a</m:t>
              </m:r>
              <m:r>
                <m:t>i</m:t>
              </m:r>
              <m:r>
                <m:t>r</m:t>
              </m:r>
              <m:r>
                <m:t>e</m:t>
              </m:r>
              <m:r>
                <m:t>d</m:t>
              </m:r>
              <m:r>
                <m:t>w</m:t>
              </m:r>
              <m:r>
                <m:t>i</m:t>
              </m:r>
              <m:r>
                <m:t>t</m:t>
              </m:r>
              <m:r>
                <m:t>h</m:t>
              </m:r>
              <m:r>
                <m:t>a</m:t>
              </m:r>
              <m:r>
                <m:t>n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8.39 vs. $8.43 consensus implies roughly $4.33 of second-half EPS versus approximately $4.40 embedded in consensus. That out-period shortfall should drive modest estimate cuts after the initial report, particularly given PM's premium valuation and continued uncertainty around U.S. ZYN growth and promotional spending.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2026-07-22T00:23:52Z</dcterms:created>
  <dcterms:modified xsi:type="dcterms:W3CDTF">2026-07-22T00:23:52Z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