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3b5b25546a990f7839e9f2856f34e656082b491"/>
    <w:p>
      <w:pPr>
        <w:pStyle w:val="Heading1"/>
      </w:pPr>
      <w:r>
        <w:t xml:space="preserve">Philip Morris International (NYSE: PM) — 2026 Q2 Earnings Preview</w:t>
      </w:r>
    </w:p>
    <w:p>
      <w:pPr>
        <w:pStyle w:val="BlockText"/>
      </w:pPr>
      <w:r>
        <w:rPr>
          <w:b/>
          <w:bCs/>
        </w:rPr>
        <w:t xml:space="preserve">Timing note:</w:t>
      </w:r>
      <w:r>
        <w:t xml:space="preserve"> </w:t>
      </w:r>
      <w:r>
        <w:t xml:space="preserve">July 22, 2026 is today, not tomorrow. PM is scheduled to report before the U.S. market opens on</w:t>
      </w:r>
      <w:r>
        <w:t xml:space="preserve"> </w:t>
      </w:r>
      <w:r>
        <w:rPr>
          <w:b/>
          <w:bCs/>
        </w:rPr>
        <w:t xml:space="preserve">Wednesday, July 22, 2026</w:t>
      </w:r>
      <w:r>
        <w:t xml:space="preserve">. No second-quarter earnings release was available in the research database at the time of writing, so this is a pre-results preview.</w:t>
      </w:r>
    </w:p>
    <w:bookmarkStart w:id="9" w:name="executive-view"/>
    <w:p>
      <w:pPr>
        <w:pStyle w:val="Heading2"/>
      </w:pPr>
      <w:r>
        <w:t xml:space="preserve">Executive view</w:t>
      </w:r>
    </w:p>
    <w:p>
      <w:pPr>
        <w:pStyle w:val="FirstParagraph"/>
      </w:pPr>
      <w:r>
        <w:t xml:space="preserve">PM enters the report with strong international smoke-free momentum but a demanding valuation and unresolved questions around U.S. ZYN growth. The quarter itself may be somewhat noisy because of ZYN inventory comparisons, Japan excise-related timing and a noncash Canadian impairment. The more important question is whether management can support a stronger second half without further reducing guidance.</w:t>
      </w:r>
    </w:p>
    <w:p>
      <w:pPr>
        <w:pStyle w:val="BodyText"/>
      </w:pPr>
      <w:r>
        <w:t xml:space="preserve">The market is looking for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metric</w:t>
            </w:r>
          </w:p>
        </w:tc>
        <w:tc>
          <w:tcPr/>
          <w:p>
            <w:pPr>
              <w:pStyle w:val="Compact"/>
              <w:jc w:val="right"/>
            </w:pPr>
            <w:r>
              <w:t xml:space="preserve">Expectation / prior guidance</w:t>
            </w:r>
          </w:p>
        </w:tc>
      </w:tr>
      <w:tr>
        <w:tc>
          <w:tcPr/>
          <w:p>
            <w:pPr>
              <w:pStyle w:val="Compact"/>
            </w:pPr>
            <w:r>
              <w:t xml:space="preserve">Adjusted EPS</w:t>
            </w:r>
          </w:p>
        </w:tc>
        <w:tc>
          <w:tcPr/>
          <w:p>
            <w:pPr>
              <w:pStyle w:val="Compact"/>
              <w:jc w:val="right"/>
            </w:pPr>
            <w:r>
              <w:t xml:space="preserve">Approximately</w:t>
            </w:r>
            <w:r>
              <w:t xml:space="preserve"> </w:t>
            </w:r>
            <w:r>
              <w:rPr>
                <w:b/>
                <w:bCs/>
              </w:rPr>
              <w:t xml:space="preserve">$2.07</w:t>
            </w:r>
          </w:p>
        </w:tc>
      </w:tr>
      <w:tr>
        <w:tc>
          <w:tcPr/>
          <w:p>
            <w:pPr>
              <w:pStyle w:val="Compact"/>
            </w:pPr>
            <w:r>
              <w:t xml:space="preserve">Organic revenue growth</w:t>
            </w:r>
          </w:p>
        </w:tc>
        <w:tc>
          <w:tcPr/>
          <w:p>
            <w:pPr>
              <w:pStyle w:val="Compact"/>
              <w:jc w:val="right"/>
            </w:pPr>
            <w:r>
              <w:t xml:space="preserve">Approximately</w:t>
            </w:r>
            <w:r>
              <w:t xml:space="preserve"> </w:t>
            </w:r>
            <w:r>
              <w:rPr>
                <w:b/>
                <w:bCs/>
              </w:rPr>
              <w:t xml:space="preserve">5%</w:t>
            </w:r>
          </w:p>
        </w:tc>
      </w:tr>
      <w:tr>
        <w:tc>
          <w:tcPr/>
          <w:p>
            <w:pPr>
              <w:pStyle w:val="Compact"/>
            </w:pPr>
            <w:r>
              <w:t xml:space="preserve">Smoke-free organic growth</w:t>
            </w:r>
          </w:p>
        </w:tc>
        <w:tc>
          <w:tcPr/>
          <w:p>
            <w:pPr>
              <w:pStyle w:val="Compact"/>
              <w:jc w:val="right"/>
            </w:pPr>
            <w:r>
              <w:t xml:space="preserve">Approximately</w:t>
            </w:r>
            <w:r>
              <w:t xml:space="preserve"> </w:t>
            </w:r>
            <w:r>
              <w:rPr>
                <w:b/>
                <w:bCs/>
              </w:rPr>
              <w:t xml:space="preserve">10.3%</w:t>
            </w:r>
          </w:p>
        </w:tc>
      </w:tr>
      <w:tr>
        <w:tc>
          <w:tcPr/>
          <w:p>
            <w:pPr>
              <w:pStyle w:val="Compact"/>
            </w:pPr>
            <w:r>
              <w:t xml:space="preserve">PM adjusted EPS guidance</w:t>
            </w:r>
          </w:p>
        </w:tc>
        <w:tc>
          <w:tcPr/>
          <w:p>
            <w:pPr>
              <w:pStyle w:val="Compact"/>
              <w:jc w:val="right"/>
            </w:pPr>
            <m:oMath>
              <m:r>
                <m:t>8.31</m:t>
              </m:r>
              <m:r>
                <m:rPr>
                  <m:sty m:val="p"/>
                </m:rPr>
                <m:t>–</m:t>
              </m:r>
            </m:oMath>
            <w:r>
              <w:rPr>
                <w:b/>
                <w:bCs/>
              </w:rPr>
              <w:t xml:space="preserve">8.46</w:t>
            </w:r>
          </w:p>
        </w:tc>
      </w:tr>
      <w:tr>
        <w:tc>
          <w:tcPr/>
          <w:p>
            <w:pPr>
              <w:pStyle w:val="Compact"/>
            </w:pPr>
            <w:r>
              <w:t xml:space="preserve">Q2 HTU shipments</w:t>
            </w:r>
          </w:p>
        </w:tc>
        <w:tc>
          <w:tcPr/>
          <w:p>
            <w:pPr>
              <w:pStyle w:val="Compact"/>
              <w:jc w:val="right"/>
            </w:pPr>
            <w:r>
              <w:rPr>
                <w:b/>
                <w:bCs/>
              </w:rPr>
              <w:t xml:space="preserve">40–42 billion units</w:t>
            </w:r>
          </w:p>
        </w:tc>
      </w:tr>
      <w:tr>
        <w:tc>
          <w:tcPr/>
          <w:p>
            <w:pPr>
              <w:pStyle w:val="Compact"/>
            </w:pPr>
            <w:r>
              <w:t xml:space="preserve">Cigarette shipments</w:t>
            </w:r>
          </w:p>
        </w:tc>
        <w:tc>
          <w:tcPr/>
          <w:p>
            <w:pPr>
              <w:pStyle w:val="Compact"/>
              <w:jc w:val="right"/>
            </w:pPr>
            <w:r>
              <w:t xml:space="preserve">Low-single-digit decline</w:t>
            </w:r>
          </w:p>
        </w:tc>
      </w:tr>
    </w:tbl>
    <w:p>
      <w:pPr>
        <w:pStyle w:val="BodyText"/>
      </w:pPr>
      <w:r>
        <w:t xml:space="preserve">The central debate is straightforward:</w:t>
      </w:r>
    </w:p>
    <w:p>
      <w:pPr>
        <w:pStyle w:val="Compact"/>
        <w:numPr>
          <w:ilvl w:val="0"/>
          <w:numId w:val="1001"/>
        </w:numPr>
      </w:pPr>
      <w:r>
        <w:rPr>
          <w:b/>
          <w:bCs/>
        </w:rPr>
        <w:t xml:space="preserve">International IQOS, ZYN and VEEV are performing exceptionally well.</w:t>
      </w:r>
    </w:p>
    <w:p>
      <w:pPr>
        <w:pStyle w:val="Compact"/>
        <w:numPr>
          <w:ilvl w:val="0"/>
          <w:numId w:val="1001"/>
        </w:numPr>
      </w:pPr>
      <w:r>
        <w:rPr>
          <w:b/>
          <w:bCs/>
        </w:rPr>
        <w:t xml:space="preserve">U.S. ZYN has been losing momentum and facing heavier competition.</w:t>
      </w:r>
    </w:p>
    <w:p>
      <w:pPr>
        <w:pStyle w:val="Compact"/>
        <w:numPr>
          <w:ilvl w:val="0"/>
          <w:numId w:val="1001"/>
        </w:numPr>
      </w:pPr>
      <w:r>
        <w:rPr>
          <w:b/>
          <w:bCs/>
        </w:rPr>
        <w:t xml:space="preserve">PM must demonstrate that U.S. normalization and product innovation can complement—not dilute—the international earnings engine.</w:t>
      </w:r>
    </w:p>
    <w:p>
      <w:r>
        <w:pict>
          <v:rect style="width:0;height:1.5pt" o:hralign="center" o:hrstd="t" o:hr="t"/>
        </w:pict>
      </w:r>
    </w:p>
    <w:bookmarkEnd w:id="9"/>
    <w:bookmarkStart w:id="10" w:name="Xab89efcd7ad85f4368032b2d1db0390396243ba"/>
    <w:p>
      <w:pPr>
        <w:pStyle w:val="Heading2"/>
      </w:pPr>
      <w:r>
        <w:t xml:space="preserve">The setup: strong expectations are already embedded</w:t>
      </w:r>
    </w:p>
    <w:p>
      <w:pPr>
        <w:pStyle w:val="FirstParagraph"/>
      </w:pPr>
      <w:r>
        <w:t xml:space="preserve">PM closed July 21 at</w:t>
      </w:r>
      <w:r>
        <w:t xml:space="preserve"> </w:t>
      </w:r>
      <w:r>
        <w:rPr>
          <w:b/>
          <w:bCs/>
        </w:rPr>
        <w:t xml:space="preserve">$188.07</w:t>
      </w:r>
      <w:r>
        <w:t xml:space="preserve">, up roughly</w:t>
      </w:r>
      <w:r>
        <w:t xml:space="preserve"> </w:t>
      </w:r>
      <w:r>
        <w:rPr>
          <w:b/>
          <w:bCs/>
        </w:rPr>
        <w:t xml:space="preserve">17% year to date</w:t>
      </w:r>
      <w:r>
        <w:t xml:space="preserve"> </w:t>
      </w:r>
      <w:r>
        <w:t xml:space="preserve">and almost</w:t>
      </w:r>
      <w:r>
        <w:t xml:space="preserve"> </w:t>
      </w:r>
      <w:r>
        <w:rPr>
          <w:b/>
          <w:bCs/>
        </w:rPr>
        <w:t xml:space="preserve">15% since its first-quarter report</w:t>
      </w:r>
      <w:r>
        <w:t xml:space="preserve">. The stock trades at approximately</w:t>
      </w:r>
      <w:r>
        <w:t xml:space="preserve"> </w:t>
      </w:r>
      <w:r>
        <w:rPr>
          <w:b/>
          <w:bCs/>
        </w:rPr>
        <w:t xml:space="preserve">22.4 times</w:t>
      </w:r>
      <w:r>
        <w:t xml:space="preserve"> </w:t>
      </w:r>
      <w:r>
        <w:t xml:space="preserve">the midpoint of current adjusted EPS guidance and offers a roughly</w:t>
      </w:r>
      <w:r>
        <w:t xml:space="preserve"> </w:t>
      </w:r>
      <w:r>
        <w:rPr>
          <w:b/>
          <w:bCs/>
        </w:rPr>
        <w:t xml:space="preserve">3.1% annualized dividend yield</w:t>
      </w:r>
      <w:r>
        <w:t xml:space="preserve">.</w:t>
      </w:r>
    </w:p>
    <w:p>
      <w:pPr>
        <w:pStyle w:val="BodyText"/>
      </w:pPr>
      <w:r>
        <w:t xml:space="preserve">That is a premium setup for a tobacco company. Investors are increasingly valuing PM as a differentiated consumer-growth business because of IQOS and ZYN. Consequently, simply meeting the quarterly EPS estimate may not be sufficient. The stock likely needs:</w:t>
      </w:r>
    </w:p>
    <w:p>
      <w:pPr>
        <w:pStyle w:val="Compact"/>
        <w:numPr>
          <w:ilvl w:val="0"/>
          <w:numId w:val="1002"/>
        </w:numPr>
      </w:pPr>
      <w:r>
        <w:t xml:space="preserve">A clean Q2 result;</w:t>
      </w:r>
    </w:p>
    <w:p>
      <w:pPr>
        <w:pStyle w:val="Compact"/>
        <w:numPr>
          <w:ilvl w:val="0"/>
          <w:numId w:val="1002"/>
        </w:numPr>
      </w:pPr>
      <w:r>
        <w:t xml:space="preserve">Reassuring U.S. ZYN trends;</w:t>
      </w:r>
    </w:p>
    <w:p>
      <w:pPr>
        <w:pStyle w:val="Compact"/>
        <w:numPr>
          <w:ilvl w:val="0"/>
          <w:numId w:val="1002"/>
        </w:numPr>
      </w:pPr>
      <w:r>
        <w:t xml:space="preserve">Continued double-digit international smoke-free growth; and</w:t>
      </w:r>
    </w:p>
    <w:p>
      <w:pPr>
        <w:pStyle w:val="Compact"/>
        <w:numPr>
          <w:ilvl w:val="0"/>
          <w:numId w:val="1002"/>
        </w:numPr>
      </w:pPr>
      <w:r>
        <w:t xml:space="preserve">At least maintained full-year organic growth guidance.</w:t>
      </w:r>
    </w:p>
    <w:p>
      <w:r>
        <w:pict>
          <v:rect style="width:0;height:1.5pt" o:hralign="center" o:hrstd="t" o:hr="t"/>
        </w:pict>
      </w:r>
    </w:p>
    <w:bookmarkEnd w:id="10"/>
    <w:bookmarkStart w:id="14" w:name="Xdda6c511a5922f45082e6245db8ceb0a6094254"/>
    <w:p>
      <w:pPr>
        <w:pStyle w:val="Heading2"/>
      </w:pPr>
      <w:r>
        <w:t xml:space="preserve">1. U.S. ZYN is the most important swing factor</w:t>
      </w:r>
    </w:p>
    <w:bookmarkStart w:id="11" w:name="what-happened-in-q1"/>
    <w:p>
      <w:pPr>
        <w:pStyle w:val="Heading3"/>
      </w:pPr>
      <w:r>
        <w:t xml:space="preserve">What happened in Q1</w:t>
      </w:r>
    </w:p>
    <w:p>
      <w:pPr>
        <w:pStyle w:val="FirstParagraph"/>
      </w:pPr>
      <w:r>
        <w:t xml:space="preserve">First-quarter U.S. segment results were weak:</w:t>
      </w:r>
    </w:p>
    <w:p>
      <w:pPr>
        <w:pStyle w:val="Compact"/>
        <w:numPr>
          <w:ilvl w:val="0"/>
          <w:numId w:val="1003"/>
        </w:numPr>
      </w:pPr>
      <w:r>
        <w:t xml:space="preserve">Revenue fell</w:t>
      </w:r>
      <w:r>
        <w:t xml:space="preserve"> </w:t>
      </w:r>
      <w:r>
        <w:rPr>
          <w:b/>
          <w:bCs/>
        </w:rPr>
        <w:t xml:space="preserve">31.6% organically</w:t>
      </w:r>
      <w:r>
        <w:t xml:space="preserve">;</w:t>
      </w:r>
    </w:p>
    <w:p>
      <w:pPr>
        <w:pStyle w:val="Compact"/>
        <w:numPr>
          <w:ilvl w:val="0"/>
          <w:numId w:val="1003"/>
        </w:numPr>
      </w:pPr>
      <w:r>
        <w:t xml:space="preserve">Gross profit fell</w:t>
      </w:r>
      <w:r>
        <w:t xml:space="preserve"> </w:t>
      </w:r>
      <w:r>
        <w:rPr>
          <w:b/>
          <w:bCs/>
        </w:rPr>
        <w:t xml:space="preserve">44.5%</w:t>
      </w:r>
      <w:r>
        <w:t xml:space="preserve">;</w:t>
      </w:r>
    </w:p>
    <w:p>
      <w:pPr>
        <w:pStyle w:val="Compact"/>
        <w:numPr>
          <w:ilvl w:val="0"/>
          <w:numId w:val="1003"/>
        </w:numPr>
      </w:pPr>
      <w:r>
        <w:t xml:space="preserve">ZYN shipments declined</w:t>
      </w:r>
      <w:r>
        <w:t xml:space="preserve"> </w:t>
      </w:r>
      <w:r>
        <w:rPr>
          <w:b/>
          <w:bCs/>
        </w:rPr>
        <w:t xml:space="preserve">23.5%</w:t>
      </w:r>
      <w:r>
        <w:t xml:space="preserve"> </w:t>
      </w:r>
      <w:r>
        <w:t xml:space="preserve">to</w:t>
      </w:r>
      <w:r>
        <w:t xml:space="preserve"> </w:t>
      </w:r>
      <w:r>
        <w:rPr>
          <w:b/>
          <w:bCs/>
        </w:rPr>
        <w:t xml:space="preserve">155 million cans</w:t>
      </w:r>
      <w:r>
        <w:t xml:space="preserve">;</w:t>
      </w:r>
    </w:p>
    <w:p>
      <w:pPr>
        <w:pStyle w:val="Compact"/>
        <w:numPr>
          <w:ilvl w:val="0"/>
          <w:numId w:val="1003"/>
        </w:numPr>
      </w:pPr>
      <w:r>
        <w:t xml:space="preserve">Consumer offtake nevertheless increased approximately</w:t>
      </w:r>
      <w:r>
        <w:t xml:space="preserve"> </w:t>
      </w:r>
      <w:r>
        <w:rPr>
          <w:b/>
          <w:bCs/>
        </w:rPr>
        <w:t xml:space="preserve">10%</w:t>
      </w:r>
      <w:r>
        <w:t xml:space="preserve">.</w:t>
      </w:r>
    </w:p>
    <w:p>
      <w:pPr>
        <w:pStyle w:val="FirstParagraph"/>
      </w:pPr>
      <w:r>
        <w:t xml:space="preserve">The gap between shipments and consumer purchases reflected two inventory effects: a roughly 40-million-can inventory rebuild in Q1 2025 and the removal of approximately 25 million excess cans from the downstream channel during Q1 2026. Increased promotions and manufacturing costs also pressured profitability.</w:t>
      </w:r>
    </w:p>
    <w:p>
      <w:pPr>
        <w:pStyle w:val="BodyText"/>
      </w:pPr>
      <w:r>
        <w:t xml:space="preserve">Management identified approximately</w:t>
      </w:r>
      <w:r>
        <w:t xml:space="preserve"> </w:t>
      </w:r>
      <w:r>
        <w:rPr>
          <w:b/>
          <w:bCs/>
        </w:rPr>
        <w:t xml:space="preserve">180 million cans</w:t>
      </w:r>
      <w:r>
        <w:t xml:space="preserve"> </w:t>
      </w:r>
      <w:r>
        <w:t xml:space="preserve">as the underlying Q2 2025 shipment base. As a practical benchmark, a Q2 result around</w:t>
      </w:r>
      <w:r>
        <w:t xml:space="preserve"> </w:t>
      </w:r>
      <w:r>
        <w:rPr>
          <w:b/>
          <w:bCs/>
        </w:rPr>
        <w:t xml:space="preserve">190–200 million cans</w:t>
      </w:r>
      <w:r>
        <w:t xml:space="preserve"> </w:t>
      </w:r>
      <w:r>
        <w:t xml:space="preserve">would suggest that shipments are again broadly tracking underlying category demand, although product-launch inventory could complicate the comparison.</w:t>
      </w:r>
    </w:p>
    <w:bookmarkEnd w:id="11"/>
    <w:bookmarkStart w:id="12" w:name="what-investors-need-to-hear"/>
    <w:p>
      <w:pPr>
        <w:pStyle w:val="Heading3"/>
      </w:pPr>
      <w:r>
        <w:t xml:space="preserve">What investors need to hear</w:t>
      </w:r>
    </w:p>
    <w:p>
      <w:pPr>
        <w:pStyle w:val="FirstParagraph"/>
      </w:pPr>
      <w:r>
        <w:t xml:space="preserve">The report should answer four questions:</w:t>
      </w:r>
    </w:p>
    <w:p>
      <w:pPr>
        <w:numPr>
          <w:ilvl w:val="0"/>
          <w:numId w:val="1004"/>
        </w:numPr>
      </w:pPr>
      <w:r>
        <w:rPr>
          <w:b/>
          <w:bCs/>
        </w:rPr>
        <w:t xml:space="preserve">Has ZYN’s consumer growth stabilized?</w:t>
      </w:r>
      <w:r>
        <w:br/>
      </w:r>
      <w:r>
        <w:t xml:space="preserve">At the Q1 call, management acknowledged that the latest weekly Nielsen growth had slowed to approximately 5%–6%, versus 10% for the full quarter.</w:t>
      </w:r>
    </w:p>
    <w:p>
      <w:pPr>
        <w:numPr>
          <w:ilvl w:val="0"/>
          <w:numId w:val="1004"/>
        </w:numPr>
      </w:pPr>
      <w:r>
        <w:rPr>
          <w:b/>
          <w:bCs/>
        </w:rPr>
        <w:t xml:space="preserve">Is PM closing the product gap with competitors?</w:t>
      </w:r>
      <w:r>
        <w:br/>
      </w:r>
      <w:r>
        <w:t xml:space="preserve">ZYN historically lacked exposure to some of the faster-growing higher-strength and fruit-flavor segments.</w:t>
      </w:r>
    </w:p>
    <w:p>
      <w:pPr>
        <w:numPr>
          <w:ilvl w:val="0"/>
          <w:numId w:val="1004"/>
        </w:numPr>
      </w:pPr>
      <w:r>
        <w:rPr>
          <w:b/>
          <w:bCs/>
        </w:rPr>
        <w:t xml:space="preserve">How much promotion is required?</w:t>
      </w:r>
      <w:r>
        <w:br/>
      </w:r>
      <w:r>
        <w:t xml:space="preserve">PM wants ZYN to retain a premium position, but its price gap versus competitors has become a concern. ZYN Ultra is being priced at a lower cost per pouch than the flagship range, which should improve competitiveness but may pressure revenue per can.</w:t>
      </w:r>
    </w:p>
    <w:p>
      <w:pPr>
        <w:numPr>
          <w:ilvl w:val="0"/>
          <w:numId w:val="1004"/>
        </w:numPr>
      </w:pPr>
      <w:r>
        <w:rPr>
          <w:b/>
          <w:bCs/>
        </w:rPr>
        <w:t xml:space="preserve">When does U.S. profitability recover?</w:t>
      </w:r>
      <w:r>
        <w:br/>
      </w:r>
      <w:r>
        <w:t xml:space="preserve">Management previously said Q2 would still face difficult promotion and inventory comparisons, with more meaningful improvement expected in the second half.</w:t>
      </w:r>
    </w:p>
    <w:bookmarkEnd w:id="12"/>
    <w:bookmarkStart w:id="13" w:name="two-potentially-important-catalysts"/>
    <w:p>
      <w:pPr>
        <w:pStyle w:val="Heading3"/>
      </w:pPr>
      <w:r>
        <w:t xml:space="preserve">Two potentially important catalysts</w:t>
      </w:r>
    </w:p>
    <w:p>
      <w:pPr>
        <w:pStyle w:val="Compact"/>
        <w:numPr>
          <w:ilvl w:val="0"/>
          <w:numId w:val="1005"/>
        </w:numPr>
      </w:pPr>
      <w:r>
        <w:rPr>
          <w:b/>
          <w:bCs/>
        </w:rPr>
        <w:t xml:space="preserve">ZYN Ultra:</w:t>
      </w:r>
      <w:r>
        <w:t xml:space="preserve"> </w:t>
      </w:r>
      <w:r>
        <w:t xml:space="preserve">Its introduction should expand PM’s participation in higher-strength and flavor segments. Q2 contribution may be limited, so initial distribution, trial and repeat-purchase commentary will matter more than reported sales.</w:t>
      </w:r>
    </w:p>
    <w:p>
      <w:pPr>
        <w:pStyle w:val="Compact"/>
        <w:numPr>
          <w:ilvl w:val="0"/>
          <w:numId w:val="1005"/>
        </w:numPr>
      </w:pPr>
      <w:r>
        <w:rPr>
          <w:b/>
          <w:bCs/>
        </w:rPr>
        <w:t xml:space="preserve">FDA modified-risk authorization:</w:t>
      </w:r>
      <w:r>
        <w:t xml:space="preserve"> </w:t>
      </w:r>
      <w:r>
        <w:t xml:space="preserve">On June 30, the FDA authorized PM to market 20 ZYN variants with a claim that switching completely from cigarettes reduces the risk of several smoking-related diseases. Because this occurred after most of Q2, it should primarily influence the outlook rather than the reported quarter. It could improve adult-smoker conversion, strengthen ZYN’s differentiation and reinforce its premium positioning.</w:t>
      </w:r>
    </w:p>
    <w:p>
      <w:pPr>
        <w:pStyle w:val="FirstParagraph"/>
      </w:pPr>
      <w:r>
        <w:rPr>
          <w:b/>
          <w:bCs/>
        </w:rPr>
        <w:t xml:space="preserve">Bottom line:</w:t>
      </w:r>
      <w:r>
        <w:t xml:space="preserve"> </w:t>
      </w:r>
      <w:r>
        <w:t xml:space="preserve">A weak U.S. quarter can be forgiven if management presents credible evidence that ZYN growth and profitability will improve in H2. Another vague promise of future normalization would be less well received.</w:t>
      </w:r>
    </w:p>
    <w:p>
      <w:r>
        <w:pict>
          <v:rect style="width:0;height:1.5pt" o:hralign="center" o:hrstd="t" o:hr="t"/>
        </w:pict>
      </w:r>
    </w:p>
    <w:bookmarkEnd w:id="13"/>
    <w:bookmarkEnd w:id="14"/>
    <w:bookmarkStart w:id="17" w:name="Xcde8afa15dc29a91a8d50749e11f9ba67f8dec6"/>
    <w:p>
      <w:pPr>
        <w:pStyle w:val="Heading2"/>
      </w:pPr>
      <w:r>
        <w:t xml:space="preserve">2. IQOS must continue carrying the growth algorithm</w:t>
      </w:r>
    </w:p>
    <w:p>
      <w:pPr>
        <w:pStyle w:val="FirstParagraph"/>
      </w:pPr>
      <w:r>
        <w:t xml:space="preserve">International smoke-free was PM’s standout business in Q1:</w:t>
      </w:r>
    </w:p>
    <w:p>
      <w:pPr>
        <w:pStyle w:val="Compact"/>
        <w:numPr>
          <w:ilvl w:val="0"/>
          <w:numId w:val="1006"/>
        </w:numPr>
      </w:pPr>
      <w:r>
        <w:t xml:space="preserve">Organic revenue increased</w:t>
      </w:r>
      <w:r>
        <w:t xml:space="preserve"> </w:t>
      </w:r>
      <w:r>
        <w:rPr>
          <w:b/>
          <w:bCs/>
        </w:rPr>
        <w:t xml:space="preserve">15.8%</w:t>
      </w:r>
      <w:r>
        <w:t xml:space="preserve">;</w:t>
      </w:r>
    </w:p>
    <w:p>
      <w:pPr>
        <w:pStyle w:val="Compact"/>
        <w:numPr>
          <w:ilvl w:val="0"/>
          <w:numId w:val="1006"/>
        </w:numPr>
      </w:pPr>
      <w:r>
        <w:t xml:space="preserve">Organic gross profit increased</w:t>
      </w:r>
      <w:r>
        <w:t xml:space="preserve"> </w:t>
      </w:r>
      <w:r>
        <w:rPr>
          <w:b/>
          <w:bCs/>
        </w:rPr>
        <w:t xml:space="preserve">19.4%</w:t>
      </w:r>
      <w:r>
        <w:t xml:space="preserve">;</w:t>
      </w:r>
    </w:p>
    <w:p>
      <w:pPr>
        <w:pStyle w:val="Compact"/>
        <w:numPr>
          <w:ilvl w:val="0"/>
          <w:numId w:val="1006"/>
        </w:numPr>
      </w:pPr>
      <w:r>
        <w:t xml:space="preserve">Gross margin reached approximately</w:t>
      </w:r>
      <w:r>
        <w:t xml:space="preserve"> </w:t>
      </w:r>
      <w:r>
        <w:rPr>
          <w:b/>
          <w:bCs/>
        </w:rPr>
        <w:t xml:space="preserve">70%</w:t>
      </w:r>
      <w:r>
        <w:t xml:space="preserve">;</w:t>
      </w:r>
    </w:p>
    <w:p>
      <w:pPr>
        <w:pStyle w:val="Compact"/>
        <w:numPr>
          <w:ilvl w:val="0"/>
          <w:numId w:val="1006"/>
        </w:numPr>
      </w:pPr>
      <w:r>
        <w:t xml:space="preserve">HTU shipments increased</w:t>
      </w:r>
      <w:r>
        <w:t xml:space="preserve"> </w:t>
      </w:r>
      <w:r>
        <w:rPr>
          <w:b/>
          <w:bCs/>
        </w:rPr>
        <w:t xml:space="preserve">11.3%</w:t>
      </w:r>
      <w:r>
        <w:t xml:space="preserve">;</w:t>
      </w:r>
    </w:p>
    <w:p>
      <w:pPr>
        <w:pStyle w:val="Compact"/>
        <w:numPr>
          <w:ilvl w:val="0"/>
          <w:numId w:val="1006"/>
        </w:numPr>
      </w:pPr>
      <w:r>
        <w:t xml:space="preserve">Adjusted IQOS in-market sales rose</w:t>
      </w:r>
      <w:r>
        <w:t xml:space="preserve"> </w:t>
      </w:r>
      <w:r>
        <w:rPr>
          <w:b/>
          <w:bCs/>
        </w:rPr>
        <w:t xml:space="preserve">10.9%</w:t>
      </w:r>
      <w:r>
        <w:t xml:space="preserve">.</w:t>
      </w:r>
    </w:p>
    <w:p>
      <w:pPr>
        <w:pStyle w:val="FirstParagraph"/>
      </w:pPr>
      <w:r>
        <w:t xml:space="preserve">This performance is the primary reason investors are willing to overlook near-term U.S. weakness.</w:t>
      </w:r>
    </w:p>
    <w:bookmarkStart w:id="15" w:name="q2-complication-japan"/>
    <w:p>
      <w:pPr>
        <w:pStyle w:val="Heading3"/>
      </w:pPr>
      <w:r>
        <w:t xml:space="preserve">Q2 complication: Japan</w:t>
      </w:r>
    </w:p>
    <w:p>
      <w:pPr>
        <w:pStyle w:val="FirstParagraph"/>
      </w:pPr>
      <w:r>
        <w:t xml:space="preserve">Japan will create difficult sequential comparisons:</w:t>
      </w:r>
    </w:p>
    <w:p>
      <w:pPr>
        <w:pStyle w:val="Compact"/>
        <w:numPr>
          <w:ilvl w:val="0"/>
          <w:numId w:val="1007"/>
        </w:numPr>
      </w:pPr>
      <w:r>
        <w:t xml:space="preserve">Q1 benefited from approximately</w:t>
      </w:r>
      <w:r>
        <w:t xml:space="preserve"> </w:t>
      </w:r>
      <w:r>
        <w:rPr>
          <w:b/>
          <w:bCs/>
        </w:rPr>
        <w:t xml:space="preserve">0.5 billion units</w:t>
      </w:r>
      <w:r>
        <w:t xml:space="preserve"> </w:t>
      </w:r>
      <w:r>
        <w:t xml:space="preserve">of consumer pantry loading before an April 1 excise-driven price increase.</w:t>
      </w:r>
    </w:p>
    <w:p>
      <w:pPr>
        <w:pStyle w:val="Compact"/>
        <w:numPr>
          <w:ilvl w:val="0"/>
          <w:numId w:val="1007"/>
        </w:numPr>
      </w:pPr>
      <w:r>
        <w:t xml:space="preserve">Management explicitly guided to slower Q2 adjusted IQOS in-market-sales growth as that benefit reverses and consumers absorb higher prices.</w:t>
      </w:r>
    </w:p>
    <w:p>
      <w:pPr>
        <w:pStyle w:val="Compact"/>
        <w:numPr>
          <w:ilvl w:val="0"/>
          <w:numId w:val="1007"/>
        </w:numPr>
      </w:pPr>
      <w:r>
        <w:t xml:space="preserve">PM forecast</w:t>
      </w:r>
      <w:r>
        <w:t xml:space="preserve"> </w:t>
      </w:r>
      <w:r>
        <w:rPr>
          <w:b/>
          <w:bCs/>
        </w:rPr>
        <w:t xml:space="preserve">40–42 billion HTU shipments</w:t>
      </w:r>
      <w:r>
        <w:t xml:space="preserve">, versus 41.3 billion in Q1.</w:t>
      </w:r>
    </w:p>
    <w:p>
      <w:pPr>
        <w:pStyle w:val="FirstParagraph"/>
      </w:pPr>
      <w:r>
        <w:t xml:space="preserve">Investors should avoid overreacting to a mechanically slower Japan growth rate. The more useful indicators are:</w:t>
      </w:r>
    </w:p>
    <w:p>
      <w:pPr>
        <w:pStyle w:val="Compact"/>
        <w:numPr>
          <w:ilvl w:val="0"/>
          <w:numId w:val="1008"/>
        </w:numPr>
      </w:pPr>
      <w:r>
        <w:t xml:space="preserve">IQOS market share following the price increase;</w:t>
      </w:r>
    </w:p>
    <w:p>
      <w:pPr>
        <w:pStyle w:val="Compact"/>
        <w:numPr>
          <w:ilvl w:val="0"/>
          <w:numId w:val="1008"/>
        </w:numPr>
      </w:pPr>
      <w:r>
        <w:t xml:space="preserve">Evidence that category growth is stabilizing;</w:t>
      </w:r>
    </w:p>
    <w:p>
      <w:pPr>
        <w:pStyle w:val="Compact"/>
        <w:numPr>
          <w:ilvl w:val="0"/>
          <w:numId w:val="1008"/>
        </w:numPr>
      </w:pPr>
      <w:r>
        <w:t xml:space="preserve">Performance outside Japan;</w:t>
      </w:r>
    </w:p>
    <w:p>
      <w:pPr>
        <w:pStyle w:val="Compact"/>
        <w:numPr>
          <w:ilvl w:val="0"/>
          <w:numId w:val="1008"/>
        </w:numPr>
      </w:pPr>
      <w:r>
        <w:t xml:space="preserve">European growth excluding flavor-ban markets;</w:t>
      </w:r>
    </w:p>
    <w:p>
      <w:pPr>
        <w:pStyle w:val="Compact"/>
        <w:numPr>
          <w:ilvl w:val="0"/>
          <w:numId w:val="1008"/>
        </w:numPr>
      </w:pPr>
      <w:r>
        <w:t xml:space="preserve">Revenue and gross-profit growth relative to unit growth.</w:t>
      </w:r>
    </w:p>
    <w:bookmarkEnd w:id="15"/>
    <w:bookmarkStart w:id="16" w:name="other-markets-to-watch"/>
    <w:p>
      <w:pPr>
        <w:pStyle w:val="Heading3"/>
      </w:pPr>
      <w:r>
        <w:t xml:space="preserve">Other markets to watch</w:t>
      </w:r>
    </w:p>
    <w:p>
      <w:pPr>
        <w:pStyle w:val="Compact"/>
        <w:numPr>
          <w:ilvl w:val="0"/>
          <w:numId w:val="1009"/>
        </w:numPr>
      </w:pPr>
      <w:r>
        <w:rPr>
          <w:b/>
          <w:bCs/>
        </w:rPr>
        <w:t xml:space="preserve">Europe:</w:t>
      </w:r>
      <w:r>
        <w:t xml:space="preserve"> </w:t>
      </w:r>
      <w:r>
        <w:t xml:space="preserve">IQOS grew approximately 8% in Q1 excluding markets recently affected by heated-tobacco flavor bans. Italy’s return to double-digit growth was encouraging.</w:t>
      </w:r>
    </w:p>
    <w:p>
      <w:pPr>
        <w:pStyle w:val="Compact"/>
        <w:numPr>
          <w:ilvl w:val="0"/>
          <w:numId w:val="1009"/>
        </w:numPr>
      </w:pPr>
      <w:r>
        <w:rPr>
          <w:b/>
          <w:bCs/>
        </w:rPr>
        <w:t xml:space="preserve">Taiwan:</w:t>
      </w:r>
      <w:r>
        <w:t xml:space="preserve"> </w:t>
      </w:r>
      <w:r>
        <w:t xml:space="preserve">The Q4 2025 launch was PM’s most successful major IQOS launch to date, reaching nearly 6% national share by March.</w:t>
      </w:r>
    </w:p>
    <w:p>
      <w:pPr>
        <w:pStyle w:val="Compact"/>
        <w:numPr>
          <w:ilvl w:val="0"/>
          <w:numId w:val="1009"/>
        </w:numPr>
      </w:pPr>
      <w:r>
        <w:rPr>
          <w:b/>
          <w:bCs/>
        </w:rPr>
        <w:t xml:space="preserve">Emerging markets:</w:t>
      </w:r>
      <w:r>
        <w:t xml:space="preserve"> </w:t>
      </w:r>
      <w:r>
        <w:t xml:space="preserve">Korea, Malaysia, Indonesia, Mexico and Gulf Cooperation Council markets were among the stronger Q1 contributors.</w:t>
      </w:r>
    </w:p>
    <w:p>
      <w:pPr>
        <w:pStyle w:val="Compact"/>
        <w:numPr>
          <w:ilvl w:val="0"/>
          <w:numId w:val="1009"/>
        </w:numPr>
      </w:pPr>
      <w:r>
        <w:rPr>
          <w:b/>
          <w:bCs/>
        </w:rPr>
        <w:t xml:space="preserve">BONDS by IQOS:</w:t>
      </w:r>
      <w:r>
        <w:t xml:space="preserve"> </w:t>
      </w:r>
      <w:r>
        <w:t xml:space="preserve">The national Italian rollout is designed to attract value-conscious and more entrenched cigarette smokers who have not adopted the premium IQOS proposition.</w:t>
      </w:r>
    </w:p>
    <w:p>
      <w:pPr>
        <w:pStyle w:val="FirstParagraph"/>
      </w:pPr>
      <w:r>
        <w:t xml:space="preserve">A good Q2 would show that the Japan disruption is temporary and that IQOS remains capable of high-single-digit or better underlying growth across a broad geographic base.</w:t>
      </w:r>
    </w:p>
    <w:p>
      <w:r>
        <w:pict>
          <v:rect style="width:0;height:1.5pt" o:hralign="center" o:hrstd="t" o:hr="t"/>
        </w:pict>
      </w:r>
    </w:p>
    <w:bookmarkEnd w:id="16"/>
    <w:bookmarkEnd w:id="17"/>
    <w:bookmarkStart w:id="20" w:name="Xe8e91d817bf8406ee87ea3a3541d72d8d45b5cb"/>
    <w:p>
      <w:pPr>
        <w:pStyle w:val="Heading2"/>
      </w:pPr>
      <w:r>
        <w:t xml:space="preserve">3. VEEV and international ZYN are becoming meaningful supporting engines</w:t>
      </w:r>
    </w:p>
    <w:p>
      <w:pPr>
        <w:pStyle w:val="FirstParagraph"/>
      </w:pPr>
      <w:r>
        <w:t xml:space="preserve">Investors often focus almost exclusively on U.S. ZYN, but PM’s international multi-category portfolio is increasingly important.</w:t>
      </w:r>
    </w:p>
    <w:bookmarkStart w:id="18" w:name="veev"/>
    <w:p>
      <w:pPr>
        <w:pStyle w:val="Heading3"/>
      </w:pPr>
      <w:r>
        <w:t xml:space="preserve">VEEV</w:t>
      </w:r>
    </w:p>
    <w:p>
      <w:pPr>
        <w:pStyle w:val="FirstParagraph"/>
      </w:pPr>
      <w:r>
        <w:t xml:space="preserve">Q1 e-vapor shipments nearly doubled and surpassed one billion equivalent units for the first time. PM said VEEV had reached the joint No. 1 closed-pod position in Europe, with strong growth in markets including Italy, Germany, the U.K., France, Spain and Romania.</w:t>
      </w:r>
    </w:p>
    <w:p>
      <w:pPr>
        <w:pStyle w:val="BodyText"/>
      </w:pPr>
      <w:r>
        <w:t xml:space="preserve">The questions for Q2 are:</w:t>
      </w:r>
    </w:p>
    <w:p>
      <w:pPr>
        <w:pStyle w:val="Compact"/>
        <w:numPr>
          <w:ilvl w:val="0"/>
          <w:numId w:val="1010"/>
        </w:numPr>
      </w:pPr>
      <w:r>
        <w:t xml:space="preserve">Can growth remain close to triple digits?</w:t>
      </w:r>
    </w:p>
    <w:p>
      <w:pPr>
        <w:pStyle w:val="Compact"/>
        <w:numPr>
          <w:ilvl w:val="0"/>
          <w:numId w:val="1010"/>
        </w:numPr>
      </w:pPr>
      <w:r>
        <w:t xml:space="preserve">Is the margin profile continuing to improve?</w:t>
      </w:r>
    </w:p>
    <w:p>
      <w:pPr>
        <w:pStyle w:val="Compact"/>
        <w:numPr>
          <w:ilvl w:val="0"/>
          <w:numId w:val="1010"/>
        </w:numPr>
      </w:pPr>
      <w:r>
        <w:t xml:space="preserve">Does VEEV remain additive to IQOS rather than merely shifting users between PM products?</w:t>
      </w:r>
    </w:p>
    <w:bookmarkEnd w:id="18"/>
    <w:bookmarkStart w:id="19" w:name="international-zyn"/>
    <w:p>
      <w:pPr>
        <w:pStyle w:val="Heading3"/>
      </w:pPr>
      <w:r>
        <w:t xml:space="preserve">International ZYN</w:t>
      </w:r>
    </w:p>
    <w:p>
      <w:pPr>
        <w:pStyle w:val="FirstParagraph"/>
      </w:pPr>
      <w:r>
        <w:t xml:space="preserve">Outside the mature Nordic markets, international modern-oral offtake grew by more than 50% in Q1. Expansion in the U.K., Pakistan, Poland and Mexico was particularly strong.</w:t>
      </w:r>
    </w:p>
    <w:p>
      <w:pPr>
        <w:pStyle w:val="BodyText"/>
      </w:pPr>
      <w:r>
        <w:t xml:space="preserve">This business remains small relative to IQOS and U.S. ZYN, but sustained growth would strengthen the argument that PM owns a globally scalable nicotine platform rather than one or two isolated brands.</w:t>
      </w:r>
    </w:p>
    <w:p>
      <w:r>
        <w:pict>
          <v:rect style="width:0;height:1.5pt" o:hralign="center" o:hrstd="t" o:hr="t"/>
        </w:pict>
      </w:r>
    </w:p>
    <w:bookmarkEnd w:id="19"/>
    <w:bookmarkEnd w:id="20"/>
    <w:bookmarkStart w:id="23" w:name="Xd358b3dd349f0cc717a126b2b4ab7c05f5c4c2b"/>
    <w:p>
      <w:pPr>
        <w:pStyle w:val="Heading2"/>
      </w:pPr>
      <w:r>
        <w:t xml:space="preserve">4. Combustibles need to remain a cash engine</w:t>
      </w:r>
    </w:p>
    <w:p>
      <w:pPr>
        <w:pStyle w:val="FirstParagraph"/>
      </w:pPr>
      <w:r>
        <w:t xml:space="preserve">PM’s cigarette business continues to finance its smoke-free expansion. Q1 demonstrated both the strength and limits of that model:</w:t>
      </w:r>
    </w:p>
    <w:p>
      <w:pPr>
        <w:pStyle w:val="Compact"/>
        <w:numPr>
          <w:ilvl w:val="0"/>
          <w:numId w:val="1011"/>
        </w:numPr>
      </w:pPr>
      <w:r>
        <w:t xml:space="preserve">Cigarette shipments fell</w:t>
      </w:r>
      <w:r>
        <w:t xml:space="preserve"> </w:t>
      </w:r>
      <w:r>
        <w:rPr>
          <w:b/>
          <w:bCs/>
        </w:rPr>
        <w:t xml:space="preserve">5.1%</w:t>
      </w:r>
      <w:r>
        <w:t xml:space="preserve">;</w:t>
      </w:r>
    </w:p>
    <w:p>
      <w:pPr>
        <w:pStyle w:val="Compact"/>
        <w:numPr>
          <w:ilvl w:val="0"/>
          <w:numId w:val="1011"/>
        </w:numPr>
      </w:pPr>
      <w:r>
        <w:t xml:space="preserve">Combustible pricing increased</w:t>
      </w:r>
      <w:r>
        <w:t xml:space="preserve"> </w:t>
      </w:r>
      <w:r>
        <w:rPr>
          <w:b/>
          <w:bCs/>
        </w:rPr>
        <w:t xml:space="preserve">8.5%</w:t>
      </w:r>
      <w:r>
        <w:t xml:space="preserve">;</w:t>
      </w:r>
    </w:p>
    <w:p>
      <w:pPr>
        <w:pStyle w:val="Compact"/>
        <w:numPr>
          <w:ilvl w:val="0"/>
          <w:numId w:val="1011"/>
        </w:numPr>
      </w:pPr>
      <w:r>
        <w:t xml:space="preserve">Organic combustible revenue increased</w:t>
      </w:r>
      <w:r>
        <w:t xml:space="preserve"> </w:t>
      </w:r>
      <w:r>
        <w:rPr>
          <w:b/>
          <w:bCs/>
        </w:rPr>
        <w:t xml:space="preserve">1%</w:t>
      </w:r>
      <w:r>
        <w:t xml:space="preserve">;</w:t>
      </w:r>
    </w:p>
    <w:p>
      <w:pPr>
        <w:pStyle w:val="Compact"/>
        <w:numPr>
          <w:ilvl w:val="0"/>
          <w:numId w:val="1011"/>
        </w:numPr>
      </w:pPr>
      <w:r>
        <w:t xml:space="preserve">Organic gross profit increased</w:t>
      </w:r>
      <w:r>
        <w:t xml:space="preserve"> </w:t>
      </w:r>
      <w:r>
        <w:rPr>
          <w:b/>
          <w:bCs/>
        </w:rPr>
        <w:t xml:space="preserve">3.9%</w:t>
      </w:r>
      <w:r>
        <w:t xml:space="preserve">.</w:t>
      </w:r>
    </w:p>
    <w:p>
      <w:pPr>
        <w:pStyle w:val="FirstParagraph"/>
      </w:pPr>
      <w:r>
        <w:t xml:space="preserve">Management expects the full-year cigarette decline to moderate to approximately</w:t>
      </w:r>
      <w:r>
        <w:t xml:space="preserve"> </w:t>
      </w:r>
      <w:r>
        <w:rPr>
          <w:b/>
          <w:bCs/>
        </w:rPr>
        <w:t xml:space="preserve">3%</w:t>
      </w:r>
      <w:r>
        <w:t xml:space="preserve"> </w:t>
      </w:r>
      <w:r>
        <w:t xml:space="preserve">and forecast a low-single-digit decline for Q2. It also raised its full-year combustible pricing expectation to more than 6%.</w:t>
      </w:r>
    </w:p>
    <w:bookmarkStart w:id="21" w:name="what-would-be-constructive"/>
    <w:p>
      <w:pPr>
        <w:pStyle w:val="Heading3"/>
      </w:pPr>
      <w:r>
        <w:t xml:space="preserve">What would be constructive</w:t>
      </w:r>
    </w:p>
    <w:p>
      <w:pPr>
        <w:pStyle w:val="Compact"/>
        <w:numPr>
          <w:ilvl w:val="0"/>
          <w:numId w:val="1012"/>
        </w:numPr>
      </w:pPr>
      <w:r>
        <w:t xml:space="preserve">Q2 volume declines improving to the low-single-digit range;</w:t>
      </w:r>
    </w:p>
    <w:p>
      <w:pPr>
        <w:pStyle w:val="Compact"/>
        <w:numPr>
          <w:ilvl w:val="0"/>
          <w:numId w:val="1012"/>
        </w:numPr>
      </w:pPr>
      <w:r>
        <w:t xml:space="preserve">Continued positive organic revenue and gross-profit growth;</w:t>
      </w:r>
    </w:p>
    <w:p>
      <w:pPr>
        <w:pStyle w:val="Compact"/>
        <w:numPr>
          <w:ilvl w:val="0"/>
          <w:numId w:val="1012"/>
        </w:numPr>
      </w:pPr>
      <w:r>
        <w:t xml:space="preserve">Stable overall cigarette share;</w:t>
      </w:r>
    </w:p>
    <w:p>
      <w:pPr>
        <w:pStyle w:val="Compact"/>
        <w:numPr>
          <w:ilvl w:val="0"/>
          <w:numId w:val="1012"/>
        </w:numPr>
      </w:pPr>
      <w:r>
        <w:t xml:space="preserve">Marlboro continuing to gain share;</w:t>
      </w:r>
    </w:p>
    <w:p>
      <w:pPr>
        <w:pStyle w:val="Compact"/>
        <w:numPr>
          <w:ilvl w:val="0"/>
          <w:numId w:val="1012"/>
        </w:numPr>
      </w:pPr>
      <w:r>
        <w:t xml:space="preserve">No major increase in down-trading or illicit consumption.</w:t>
      </w:r>
    </w:p>
    <w:bookmarkEnd w:id="21"/>
    <w:bookmarkStart w:id="22" w:name="pressure-points"/>
    <w:p>
      <w:pPr>
        <w:pStyle w:val="Heading3"/>
      </w:pPr>
      <w:r>
        <w:t xml:space="preserve">Pressure points</w:t>
      </w:r>
    </w:p>
    <w:p>
      <w:pPr>
        <w:pStyle w:val="FirstParagraph"/>
      </w:pPr>
      <w:r>
        <w:t xml:space="preserve">Mexico’s excise increase, weaker consumer conditions in Germany, industry disruption in India and share pressure in Indonesia and Russia all bear watching. If pricing no longer offsets volume weakness, the market may question whether PM is extracting too much value from the combustible consumer base.</w:t>
      </w:r>
    </w:p>
    <w:p>
      <w:r>
        <w:pict>
          <v:rect style="width:0;height:1.5pt" o:hralign="center" o:hrstd="t" o:hr="t"/>
        </w:pict>
      </w:r>
    </w:p>
    <w:bookmarkEnd w:id="22"/>
    <w:bookmarkEnd w:id="23"/>
    <w:bookmarkStart w:id="24" w:name="X9b03c676ca06838065b7e8f93bcffb970bf71e3"/>
    <w:p>
      <w:pPr>
        <w:pStyle w:val="Heading2"/>
      </w:pPr>
      <w:r>
        <w:t xml:space="preserve">5. Margin progression is as important as revenue growth</w:t>
      </w:r>
    </w:p>
    <w:p>
      <w:pPr>
        <w:pStyle w:val="FirstParagraph"/>
      </w:pPr>
      <w:r>
        <w:t xml:space="preserve">PM delivered strong international gross-profit growth in Q1, but consolidated organic operating-income growth was only modest because of:</w:t>
      </w:r>
    </w:p>
    <w:p>
      <w:pPr>
        <w:pStyle w:val="Compact"/>
        <w:numPr>
          <w:ilvl w:val="0"/>
          <w:numId w:val="1013"/>
        </w:numPr>
      </w:pPr>
      <w:r>
        <w:t xml:space="preserve">U.S. ZYN weakness;</w:t>
      </w:r>
    </w:p>
    <w:p>
      <w:pPr>
        <w:pStyle w:val="Compact"/>
        <w:numPr>
          <w:ilvl w:val="0"/>
          <w:numId w:val="1013"/>
        </w:numPr>
      </w:pPr>
      <w:r>
        <w:t xml:space="preserve">Increased promotion;</w:t>
      </w:r>
    </w:p>
    <w:p>
      <w:pPr>
        <w:pStyle w:val="Compact"/>
        <w:numPr>
          <w:ilvl w:val="0"/>
          <w:numId w:val="1013"/>
        </w:numPr>
      </w:pPr>
      <w:r>
        <w:t xml:space="preserve">Higher U.S. manufacturing costs; and</w:t>
      </w:r>
    </w:p>
    <w:p>
      <w:pPr>
        <w:pStyle w:val="Compact"/>
        <w:numPr>
          <w:ilvl w:val="0"/>
          <w:numId w:val="1013"/>
        </w:numPr>
      </w:pPr>
      <w:r>
        <w:t xml:space="preserve">Heavy investment behind smoke-free growth.</w:t>
      </w:r>
    </w:p>
    <w:p>
      <w:pPr>
        <w:pStyle w:val="FirstParagraph"/>
      </w:pPr>
      <w:r>
        <w:t xml:space="preserve">Management warned that Q2 would contain another period of substantial commercial investment, followed by more moderate spending growth in H2. It nevertheless expects full-year organic operating-margin expansion.</w:t>
      </w:r>
    </w:p>
    <w:p>
      <w:pPr>
        <w:pStyle w:val="BodyText"/>
      </w:pPr>
      <w:r>
        <w:t xml:space="preserve">The desired Q2 message is therefore not necessarily large margin expansion. Instead, investors need:</w:t>
      </w:r>
    </w:p>
    <w:p>
      <w:pPr>
        <w:pStyle w:val="Compact"/>
        <w:numPr>
          <w:ilvl w:val="0"/>
          <w:numId w:val="1014"/>
        </w:numPr>
      </w:pPr>
      <w:r>
        <w:t xml:space="preserve">Continued international smoke-free gross-margin strength;</w:t>
      </w:r>
    </w:p>
    <w:p>
      <w:pPr>
        <w:pStyle w:val="Compact"/>
        <w:numPr>
          <w:ilvl w:val="0"/>
          <w:numId w:val="1014"/>
        </w:numPr>
      </w:pPr>
      <w:r>
        <w:t xml:space="preserve">Evidence that U.S. margin pressure has bottomed;</w:t>
      </w:r>
    </w:p>
    <w:p>
      <w:pPr>
        <w:pStyle w:val="Compact"/>
        <w:numPr>
          <w:ilvl w:val="0"/>
          <w:numId w:val="1014"/>
        </w:numPr>
      </w:pPr>
      <w:r>
        <w:t xml:space="preserve">A clear path to lower SG&amp;A growth in H2; and</w:t>
      </w:r>
    </w:p>
    <w:p>
      <w:pPr>
        <w:pStyle w:val="Compact"/>
        <w:numPr>
          <w:ilvl w:val="0"/>
          <w:numId w:val="1014"/>
        </w:numPr>
      </w:pPr>
      <w:r>
        <w:t xml:space="preserve">Reaffirmation of full-year organic operating-income growth of</w:t>
      </w:r>
      <w:r>
        <w:t xml:space="preserve"> </w:t>
      </w:r>
      <w:r>
        <w:rPr>
          <w:b/>
          <w:bCs/>
        </w:rPr>
        <w:t xml:space="preserve">7%–9%</w:t>
      </w:r>
      <w:r>
        <w:t xml:space="preserve">.</w:t>
      </w:r>
    </w:p>
    <w:p>
      <w:pPr>
        <w:pStyle w:val="FirstParagraph"/>
      </w:pPr>
      <w:r>
        <w:t xml:space="preserve">A revenue beat funded entirely by promotion and marketing would be lower quality than a modest top-line beat accompanied by better gross profit and operating leverage.</w:t>
      </w:r>
    </w:p>
    <w:p>
      <w:r>
        <w:pict>
          <v:rect style="width:0;height:1.5pt" o:hralign="center" o:hrstd="t" o:hr="t"/>
        </w:pict>
      </w:r>
    </w:p>
    <w:bookmarkEnd w:id="24"/>
    <w:bookmarkStart w:id="25" w:name="Xe9c1e0f6d9e76c772d382d60ea1050ebd07f2b9"/>
    <w:p>
      <w:pPr>
        <w:pStyle w:val="Heading2"/>
      </w:pPr>
      <w:r>
        <w:t xml:space="preserve">6. Guidance is likely to drive the share-price reaction</w:t>
      </w:r>
    </w:p>
    <w:p>
      <w:pPr>
        <w:pStyle w:val="FirstParagraph"/>
      </w:pPr>
      <w:r>
        <w:t xml:space="preserve">PM initially guided to adjusted 2026 EPS of</w:t>
      </w:r>
      <w:r>
        <w:t xml:space="preserve"> </w:t>
      </w:r>
      <m:oMath>
        <m:r>
          <m:t>8.36</m:t>
        </m:r>
        <m:r>
          <m:rPr>
            <m:sty m:val="p"/>
          </m:rPr>
          <m:t>–</m:t>
        </m:r>
      </m:oMath>
      <w:r>
        <w:t xml:space="preserve">8.51 following Q1. On June 2, it lowered that range by</w:t>
      </w:r>
      <w:r>
        <w:t xml:space="preserve"> </w:t>
      </w:r>
      <m:oMath>
        <m:r>
          <m:t>0.05</m:t>
        </m:r>
        <m:r>
          <m:t>t</m:t>
        </m:r>
        <m:r>
          <m:t>o</m:t>
        </m:r>
        <m:r>
          <m:rPr>
            <m:sty m:val="p"/>
          </m:rPr>
          <m:t>*</m:t>
        </m:r>
        <m:r>
          <m:rPr>
            <m:sty m:val="p"/>
          </m:rPr>
          <m:t>*</m:t>
        </m:r>
      </m:oMath>
      <w:r>
        <w:t xml:space="preserve">8.31–$8.46**, primarily because of currency changes.</w:t>
      </w:r>
    </w:p>
    <w:p>
      <w:pPr>
        <w:pStyle w:val="BodyText"/>
      </w:pPr>
      <w:r>
        <w:t xml:space="preserve">Current underlying guidance remains:</w:t>
      </w:r>
    </w:p>
    <w:p>
      <w:pPr>
        <w:pStyle w:val="Compact"/>
        <w:numPr>
          <w:ilvl w:val="0"/>
          <w:numId w:val="1015"/>
        </w:numPr>
      </w:pPr>
      <w:r>
        <w:t xml:space="preserve">Broadly stable total shipment volume;</w:t>
      </w:r>
    </w:p>
    <w:p>
      <w:pPr>
        <w:pStyle w:val="Compact"/>
        <w:numPr>
          <w:ilvl w:val="0"/>
          <w:numId w:val="1015"/>
        </w:numPr>
      </w:pPr>
      <w:r>
        <w:t xml:space="preserve">High-single-digit smoke-free shipment growth;</w:t>
      </w:r>
    </w:p>
    <w:p>
      <w:pPr>
        <w:pStyle w:val="Compact"/>
        <w:numPr>
          <w:ilvl w:val="0"/>
          <w:numId w:val="1015"/>
        </w:numPr>
      </w:pPr>
      <w:r>
        <w:t xml:space="preserve">Approximately 3% cigarette-volume decline;</w:t>
      </w:r>
    </w:p>
    <w:p>
      <w:pPr>
        <w:pStyle w:val="Compact"/>
        <w:numPr>
          <w:ilvl w:val="0"/>
          <w:numId w:val="1015"/>
        </w:numPr>
      </w:pPr>
      <w:r>
        <w:rPr>
          <w:b/>
          <w:bCs/>
        </w:rPr>
        <w:t xml:space="preserve">5%–7%</w:t>
      </w:r>
      <w:r>
        <w:t xml:space="preserve"> </w:t>
      </w:r>
      <w:r>
        <w:t xml:space="preserve">organic revenue growth;</w:t>
      </w:r>
    </w:p>
    <w:p>
      <w:pPr>
        <w:pStyle w:val="Compact"/>
        <w:numPr>
          <w:ilvl w:val="0"/>
          <w:numId w:val="1015"/>
        </w:numPr>
      </w:pPr>
      <w:r>
        <w:rPr>
          <w:b/>
          <w:bCs/>
        </w:rPr>
        <w:t xml:space="preserve">7%–9%</w:t>
      </w:r>
      <w:r>
        <w:t xml:space="preserve"> </w:t>
      </w:r>
      <w:r>
        <w:t xml:space="preserve">organic operating-income growth;</w:t>
      </w:r>
    </w:p>
    <w:p>
      <w:pPr>
        <w:pStyle w:val="Compact"/>
        <w:numPr>
          <w:ilvl w:val="0"/>
          <w:numId w:val="1015"/>
        </w:numPr>
      </w:pPr>
      <w:r>
        <w:rPr>
          <w:b/>
          <w:bCs/>
        </w:rPr>
        <w:t xml:space="preserve">7.5%–9.5%</w:t>
      </w:r>
      <w:r>
        <w:t xml:space="preserve"> </w:t>
      </w:r>
      <w:r>
        <w:t xml:space="preserve">currency-neutral adjusted EPS growth.</w:t>
      </w:r>
    </w:p>
    <w:p>
      <w:pPr>
        <w:pStyle w:val="FirstParagraph"/>
      </w:pPr>
      <w:r>
        <w:t xml:space="preserve">The key issue is whether PM can maintain these targets after absorbing:</w:t>
      </w:r>
    </w:p>
    <w:p>
      <w:pPr>
        <w:pStyle w:val="Compact"/>
        <w:numPr>
          <w:ilvl w:val="0"/>
          <w:numId w:val="1016"/>
        </w:numPr>
      </w:pPr>
      <w:r>
        <w:t xml:space="preserve">Slower U.S. ZYN trends;</w:t>
      </w:r>
    </w:p>
    <w:p>
      <w:pPr>
        <w:pStyle w:val="Compact"/>
        <w:numPr>
          <w:ilvl w:val="0"/>
          <w:numId w:val="1016"/>
        </w:numPr>
      </w:pPr>
      <w:r>
        <w:t xml:space="preserve">Japan’s excise-driven disruption;</w:t>
      </w:r>
    </w:p>
    <w:p>
      <w:pPr>
        <w:pStyle w:val="Compact"/>
        <w:numPr>
          <w:ilvl w:val="0"/>
          <w:numId w:val="1016"/>
        </w:numPr>
      </w:pPr>
      <w:r>
        <w:t xml:space="preserve">Continued commercial investment;</w:t>
      </w:r>
    </w:p>
    <w:p>
      <w:pPr>
        <w:pStyle w:val="Compact"/>
        <w:numPr>
          <w:ilvl w:val="0"/>
          <w:numId w:val="1016"/>
        </w:numPr>
      </w:pPr>
      <w:r>
        <w:t xml:space="preserve">Energy, transport and geopolitical uncertainty; and</w:t>
      </w:r>
    </w:p>
    <w:p>
      <w:pPr>
        <w:pStyle w:val="Compact"/>
        <w:numPr>
          <w:ilvl w:val="0"/>
          <w:numId w:val="1016"/>
        </w:numPr>
      </w:pPr>
      <w:r>
        <w:t xml:space="preserve">Currency movements.</w:t>
      </w:r>
    </w:p>
    <w:p>
      <w:pPr>
        <w:pStyle w:val="FirstParagraph"/>
      </w:pPr>
      <w:r>
        <w:t xml:space="preserve">Given the valuation, another guidance reduction—even if largely currency-related—could overshadow a small Q2 earnings beat. Conversely, maintaining guidance while raising confidence in H2 ZYN performance would probably be viewed favorably.</w:t>
      </w:r>
    </w:p>
    <w:p>
      <w:r>
        <w:pict>
          <v:rect style="width:0;height:1.5pt" o:hralign="center" o:hrstd="t" o:hr="t"/>
        </w:pict>
      </w:r>
    </w:p>
    <w:bookmarkEnd w:id="25"/>
    <w:bookmarkStart w:id="29" w:name="X07e6642b02603a748dd61127bbf4cf15d8affa1"/>
    <w:p>
      <w:pPr>
        <w:pStyle w:val="Heading2"/>
      </w:pPr>
      <w:r>
        <w:t xml:space="preserve">Other items investors should not confuse with the core result</w:t>
      </w:r>
    </w:p>
    <w:bookmarkStart w:id="26" w:name="canadian-impairment"/>
    <w:p>
      <w:pPr>
        <w:pStyle w:val="Heading3"/>
      </w:pPr>
      <w:r>
        <w:t xml:space="preserve">Canadian impairment</w:t>
      </w:r>
    </w:p>
    <w:p>
      <w:pPr>
        <w:pStyle w:val="FirstParagraph"/>
      </w:pPr>
      <w:r>
        <w:t xml:space="preserve">PM expects an approximately</w:t>
      </w:r>
      <w:r>
        <w:t xml:space="preserve"> </w:t>
      </w:r>
      <w:r>
        <w:rPr>
          <w:b/>
          <w:bCs/>
        </w:rPr>
        <w:t xml:space="preserve">$500 million noncash impairment charge</w:t>
      </w:r>
      <w:r>
        <w:t xml:space="preserve"> </w:t>
      </w:r>
      <w:r>
        <w:t xml:space="preserve">related to its investment in Canadian affiliate Rothmans, Benson &amp; Hedges. This should create a sizable difference between GAAP and adjusted earnings.</w:t>
      </w:r>
    </w:p>
    <w:p>
      <w:pPr>
        <w:pStyle w:val="BodyText"/>
      </w:pPr>
      <w:r>
        <w:t xml:space="preserve">The market is likely to exclude it from the operating assessment, but management should explain whether it reflects company-specific deterioration, changes in litigation assumptions or broader regulatory risk.</w:t>
      </w:r>
    </w:p>
    <w:bookmarkEnd w:id="26"/>
    <w:bookmarkStart w:id="27" w:name="cfo-transition"/>
    <w:p>
      <w:pPr>
        <w:pStyle w:val="Heading3"/>
      </w:pPr>
      <w:r>
        <w:t xml:space="preserve">CFO transition</w:t>
      </w:r>
    </w:p>
    <w:p>
      <w:pPr>
        <w:pStyle w:val="FirstParagraph"/>
      </w:pPr>
      <w:r>
        <w:t xml:space="preserve">Massimo Andolina, currently President of Europe, becomes group CFO on</w:t>
      </w:r>
      <w:r>
        <w:t xml:space="preserve"> </w:t>
      </w:r>
      <w:r>
        <w:rPr>
          <w:b/>
          <w:bCs/>
        </w:rPr>
        <w:t xml:space="preserve">August 1, 2026</w:t>
      </w:r>
      <w:r>
        <w:t xml:space="preserve">, replacing Emmanuel Babeau. Babeau will remain as a strategic adviser through March 2027.</w:t>
      </w:r>
    </w:p>
    <w:p>
      <w:pPr>
        <w:pStyle w:val="BodyText"/>
      </w:pPr>
      <w:r>
        <w:t xml:space="preserve">This report is therefore likely to be Babeau’s final earnings call as CFO. Investors should listen for continuity in financial targets, capital allocation, debt reduction and reporting philosophy under Andolina.</w:t>
      </w:r>
    </w:p>
    <w:bookmarkEnd w:id="27"/>
    <w:bookmarkStart w:id="28" w:name="balance-sheet-and-cash-flow"/>
    <w:p>
      <w:pPr>
        <w:pStyle w:val="Heading3"/>
      </w:pPr>
      <w:r>
        <w:t xml:space="preserve">Balance sheet and cash flow</w:t>
      </w:r>
    </w:p>
    <w:p>
      <w:pPr>
        <w:pStyle w:val="FirstParagraph"/>
      </w:pPr>
      <w:r>
        <w:t xml:space="preserve">PM ended Q1 with</w:t>
      </w:r>
      <w:r>
        <w:t xml:space="preserve"> </w:t>
      </w:r>
      <m:oMath>
        <m:r>
          <m:t>51.9</m:t>
        </m:r>
        <m:r>
          <m:t>b</m:t>
        </m:r>
        <m:r>
          <m:t>i</m:t>
        </m:r>
        <m:r>
          <m:t>l</m:t>
        </m:r>
        <m:r>
          <m:t>l</m:t>
        </m:r>
        <m:r>
          <m:t>i</m:t>
        </m:r>
        <m:r>
          <m:t>o</m:t>
        </m:r>
        <m:r>
          <m:t>n</m:t>
        </m:r>
        <m:r>
          <m:t>o</m:t>
        </m:r>
        <m:r>
          <m:t>f</m:t>
        </m:r>
        <m:r>
          <m:t>t</m:t>
        </m:r>
        <m:r>
          <m:t>o</m:t>
        </m:r>
        <m:r>
          <m:t>t</m:t>
        </m:r>
        <m:r>
          <m:t>a</m:t>
        </m:r>
        <m:r>
          <m:t>l</m:t>
        </m:r>
        <m:r>
          <m:t>d</m:t>
        </m:r>
        <m:r>
          <m:t>e</m:t>
        </m:r>
        <m:r>
          <m:t>b</m:t>
        </m:r>
        <m:r>
          <m:t>t</m:t>
        </m:r>
        <m:r>
          <m:rPr>
            <m:sty m:val="p"/>
          </m:rPr>
          <m:t>,</m:t>
        </m:r>
        <m:r>
          <m:t>a</m:t>
        </m:r>
        <m:r>
          <m:t>l</m:t>
        </m:r>
        <m:r>
          <m:t>t</m:t>
        </m:r>
        <m:r>
          <m:t>h</m:t>
        </m:r>
        <m:r>
          <m:t>o</m:t>
        </m:r>
        <m:r>
          <m:t>u</m:t>
        </m:r>
        <m:r>
          <m:t>g</m:t>
        </m:r>
        <m:r>
          <m:t>h</m:t>
        </m:r>
        <m:r>
          <m:t>s</m:t>
        </m:r>
        <m:r>
          <m:t>e</m:t>
        </m:r>
        <m:r>
          <m:t>a</m:t>
        </m:r>
        <m:r>
          <m:t>s</m:t>
        </m:r>
        <m:r>
          <m:t>o</m:t>
        </m:r>
        <m:r>
          <m:t>n</m:t>
        </m:r>
        <m:r>
          <m:t>a</m:t>
        </m:r>
        <m:r>
          <m:t>l</m:t>
        </m:r>
        <m:r>
          <m:t>w</m:t>
        </m:r>
        <m:r>
          <m:t>o</m:t>
        </m:r>
        <m:r>
          <m:t>r</m:t>
        </m:r>
        <m:r>
          <m:t>k</m:t>
        </m:r>
        <m:r>
          <m:t>i</m:t>
        </m:r>
        <m:r>
          <m:t>n</m:t>
        </m:r>
        <m:r>
          <m:t>g</m:t>
        </m:r>
        <m:r>
          <m:rPr>
            <m:sty m:val="p"/>
          </m:rPr>
          <m:t>−</m:t>
        </m:r>
        <m:r>
          <m:t>c</m:t>
        </m:r>
        <m:r>
          <m:t>a</m:t>
        </m:r>
        <m:r>
          <m:t>p</m:t>
        </m:r>
        <m:r>
          <m:t>i</m:t>
        </m:r>
        <m:r>
          <m:t>t</m:t>
        </m:r>
        <m:r>
          <m:t>a</m:t>
        </m:r>
        <m:r>
          <m:t>l</m:t>
        </m:r>
        <m:r>
          <m:t>r</m:t>
        </m:r>
        <m:r>
          <m:t>e</m:t>
        </m:r>
        <m:r>
          <m:t>q</m:t>
        </m:r>
        <m:r>
          <m:t>u</m:t>
        </m:r>
        <m:r>
          <m:t>i</m:t>
        </m:r>
        <m:r>
          <m:t>r</m:t>
        </m:r>
        <m:r>
          <m:t>e</m:t>
        </m:r>
        <m:r>
          <m:t>m</m:t>
        </m:r>
        <m:r>
          <m:t>e</m:t>
        </m:r>
        <m:r>
          <m:t>n</m:t>
        </m:r>
        <m:r>
          <m:t>t</m:t>
        </m:r>
        <m:r>
          <m:t>s</m:t>
        </m:r>
        <m:r>
          <m:t>i</m:t>
        </m:r>
        <m:r>
          <m:t>n</m:t>
        </m:r>
        <m:r>
          <m:t>f</m:t>
        </m:r>
        <m:r>
          <m:t>l</m:t>
        </m:r>
        <m:r>
          <m:t>a</m:t>
        </m:r>
        <m:r>
          <m:t>t</m:t>
        </m:r>
        <m:r>
          <m:t>e</m:t>
        </m:r>
        <m:r>
          <m:t>d</m:t>
        </m:r>
        <m:r>
          <m:t>s</m:t>
        </m:r>
        <m:r>
          <m:t>h</m:t>
        </m:r>
        <m:r>
          <m:t>o</m:t>
        </m:r>
        <m:r>
          <m:t>r</m:t>
        </m:r>
        <m:r>
          <m:t>t</m:t>
        </m:r>
        <m:r>
          <m:rPr>
            <m:sty m:val="p"/>
          </m:rPr>
          <m:t>−</m:t>
        </m:r>
        <m:r>
          <m:t>t</m:t>
        </m:r>
        <m:r>
          <m:t>e</m:t>
        </m:r>
        <m:r>
          <m:t>r</m:t>
        </m:r>
        <m:r>
          <m:t>m</m:t>
        </m:r>
        <m:r>
          <m:t>b</m:t>
        </m:r>
        <m:r>
          <m:t>o</m:t>
        </m:r>
        <m:r>
          <m:t>r</m:t>
        </m:r>
        <m:r>
          <m:t>r</m:t>
        </m:r>
        <m:r>
          <m:t>o</m:t>
        </m:r>
        <m:r>
          <m:t>w</m:t>
        </m:r>
        <m:r>
          <m:t>i</m:t>
        </m:r>
        <m:r>
          <m:t>n</m:t>
        </m:r>
        <m:r>
          <m:t>g</m:t>
        </m:r>
        <m:r>
          <m:rPr>
            <m:sty m:val="p"/>
          </m:rPr>
          <m:t>.</m:t>
        </m:r>
        <m:r>
          <m:t>F</m:t>
        </m:r>
        <m:r>
          <m:t>u</m:t>
        </m:r>
        <m:r>
          <m:t>l</m:t>
        </m:r>
        <m:r>
          <m:t>l</m:t>
        </m:r>
        <m:r>
          <m:rPr>
            <m:sty m:val="p"/>
          </m:rPr>
          <m:t>−</m:t>
        </m:r>
        <m:r>
          <m:t>y</m:t>
        </m:r>
        <m:r>
          <m:t>e</m:t>
        </m:r>
        <m:r>
          <m:t>a</m:t>
        </m:r>
        <m:r>
          <m:t>r</m:t>
        </m:r>
        <m:r>
          <m:t>o</m:t>
        </m:r>
        <m:r>
          <m:t>p</m:t>
        </m:r>
        <m:r>
          <m:t>e</m:t>
        </m:r>
        <m:r>
          <m:t>r</m:t>
        </m:r>
        <m:r>
          <m:t>a</m:t>
        </m:r>
        <m:r>
          <m:t>t</m:t>
        </m:r>
        <m:r>
          <m:t>i</m:t>
        </m:r>
        <m:r>
          <m:t>n</m:t>
        </m:r>
        <m:r>
          <m:t>g</m:t>
        </m:r>
        <m:r>
          <m:t>c</m:t>
        </m:r>
        <m:r>
          <m:t>a</m:t>
        </m:r>
        <m:r>
          <m:t>s</m:t>
        </m:r>
        <m:r>
          <m:t>h</m:t>
        </m:r>
        <m:r>
          <m:rPr>
            <m:sty m:val="p"/>
          </m:rPr>
          <m:t>−</m:t>
        </m:r>
        <m:r>
          <m:t>f</m:t>
        </m:r>
        <m:r>
          <m:t>l</m:t>
        </m:r>
        <m:r>
          <m:t>o</m:t>
        </m:r>
        <m:r>
          <m:t>w</m:t>
        </m:r>
        <m:r>
          <m:t>g</m:t>
        </m:r>
        <m:r>
          <m:t>u</m:t>
        </m:r>
        <m:r>
          <m:t>i</m:t>
        </m:r>
        <m:r>
          <m:t>d</m:t>
        </m:r>
        <m:r>
          <m:t>a</m:t>
        </m:r>
        <m:r>
          <m:t>n</m:t>
        </m:r>
        <m:r>
          <m:t>c</m:t>
        </m:r>
        <m:r>
          <m:t>e</m:t>
        </m:r>
        <m:r>
          <m:t>w</m:t>
        </m:r>
        <m:r>
          <m:t>a</m:t>
        </m:r>
        <m:r>
          <m:t>s</m:t>
        </m:r>
        <m:r>
          <m:t>a</m:t>
        </m:r>
        <m:r>
          <m:t>p</m:t>
        </m:r>
        <m:r>
          <m:t>p</m:t>
        </m:r>
        <m:r>
          <m:t>r</m:t>
        </m:r>
        <m:r>
          <m:t>o</m:t>
        </m:r>
        <m:r>
          <m:t>x</m:t>
        </m:r>
        <m:r>
          <m:t>i</m:t>
        </m:r>
        <m:r>
          <m:t>m</m:t>
        </m:r>
        <m:r>
          <m:t>a</m:t>
        </m:r>
        <m:r>
          <m:t>t</m:t>
        </m:r>
        <m:r>
          <m:t>e</m:t>
        </m:r>
        <m:r>
          <m:t>l</m:t>
        </m:r>
        <m:r>
          <m:t>y</m:t>
        </m:r>
        <m:r>
          <m:rPr>
            <m:sty m:val="p"/>
          </m:rPr>
          <m:t>*</m:t>
        </m:r>
        <m:r>
          <m:rPr>
            <m:sty m:val="p"/>
          </m:rPr>
          <m:t>*</m:t>
        </m:r>
      </m:oMath>
      <w:r>
        <w:t xml:space="preserve">13.5 billion**, with capital expenditure of</w:t>
      </w:r>
      <w:r>
        <w:t xml:space="preserve"> </w:t>
      </w:r>
      <m:oMath>
        <m:r>
          <m:t>1.4</m:t>
        </m:r>
        <m:r>
          <m:rPr>
            <m:sty m:val="p"/>
          </m:rPr>
          <m:t>–</m:t>
        </m:r>
      </m:oMath>
      <w:r>
        <w:rPr>
          <w:b/>
          <w:bCs/>
        </w:rPr>
        <w:t xml:space="preserve">1.6 billion</w:t>
      </w:r>
      <w:r>
        <w:t xml:space="preserve">.</w:t>
      </w:r>
    </w:p>
    <w:p>
      <w:pPr>
        <w:pStyle w:val="BodyText"/>
      </w:pPr>
      <w:r>
        <w:t xml:space="preserve">Investors will want confirmation that cash generation remains sufficient to fund:</w:t>
      </w:r>
    </w:p>
    <w:p>
      <w:pPr>
        <w:pStyle w:val="Compact"/>
        <w:numPr>
          <w:ilvl w:val="0"/>
          <w:numId w:val="1017"/>
        </w:numPr>
      </w:pPr>
      <w:r>
        <w:t xml:space="preserve">The progressive dividend;</w:t>
      </w:r>
    </w:p>
    <w:p>
      <w:pPr>
        <w:pStyle w:val="Compact"/>
        <w:numPr>
          <w:ilvl w:val="0"/>
          <w:numId w:val="1017"/>
        </w:numPr>
      </w:pPr>
      <w:r>
        <w:t xml:space="preserve">Smoke-free manufacturing expansion;</w:t>
      </w:r>
    </w:p>
    <w:p>
      <w:pPr>
        <w:pStyle w:val="Compact"/>
        <w:numPr>
          <w:ilvl w:val="0"/>
          <w:numId w:val="1017"/>
        </w:numPr>
      </w:pPr>
      <w:r>
        <w:t xml:space="preserve">Debt reduction; and</w:t>
      </w:r>
    </w:p>
    <w:p>
      <w:pPr>
        <w:pStyle w:val="Compact"/>
        <w:numPr>
          <w:ilvl w:val="0"/>
          <w:numId w:val="1017"/>
        </w:numPr>
      </w:pPr>
      <w:r>
        <w:t xml:space="preserve">Commercial investment.</w:t>
      </w:r>
    </w:p>
    <w:p>
      <w:r>
        <w:pict>
          <v:rect style="width:0;height:1.5pt" o:hralign="center" o:hrstd="t" o:hr="t"/>
        </w:pict>
      </w:r>
    </w:p>
    <w:bookmarkEnd w:id="28"/>
    <w:bookmarkEnd w:id="29"/>
    <w:bookmarkStart w:id="33" w:name="earnings-day-scorecard"/>
    <w:p>
      <w:pPr>
        <w:pStyle w:val="Heading2"/>
      </w:pPr>
      <w:r>
        <w:t xml:space="preserve">Earnings-day scorecard</w:t>
      </w:r>
    </w:p>
    <w:bookmarkStart w:id="30" w:name="bullish-result"/>
    <w:p>
      <w:pPr>
        <w:pStyle w:val="Heading3"/>
      </w:pPr>
      <w:r>
        <w:t xml:space="preserve">Bullish result</w:t>
      </w:r>
    </w:p>
    <w:p>
      <w:pPr>
        <w:pStyle w:val="Compact"/>
        <w:numPr>
          <w:ilvl w:val="0"/>
          <w:numId w:val="1018"/>
        </w:numPr>
      </w:pPr>
      <w:r>
        <w:t xml:space="preserve">Adjusted EPS above approximately $2.07;</w:t>
      </w:r>
    </w:p>
    <w:p>
      <w:pPr>
        <w:pStyle w:val="Compact"/>
        <w:numPr>
          <w:ilvl w:val="0"/>
          <w:numId w:val="1018"/>
        </w:numPr>
      </w:pPr>
      <w:r>
        <w:t xml:space="preserve">Organic revenue growth above 5%;</w:t>
      </w:r>
    </w:p>
    <w:p>
      <w:pPr>
        <w:pStyle w:val="Compact"/>
        <w:numPr>
          <w:ilvl w:val="0"/>
          <w:numId w:val="1018"/>
        </w:numPr>
      </w:pPr>
      <w:r>
        <w:t xml:space="preserve">International smoke-free growth remains comfortably double digit;</w:t>
      </w:r>
    </w:p>
    <w:p>
      <w:pPr>
        <w:pStyle w:val="Compact"/>
        <w:numPr>
          <w:ilvl w:val="0"/>
          <w:numId w:val="1018"/>
        </w:numPr>
      </w:pPr>
      <w:r>
        <w:t xml:space="preserve">ZYN shipments return toward underlying consumer-demand growth;</w:t>
      </w:r>
    </w:p>
    <w:p>
      <w:pPr>
        <w:pStyle w:val="Compact"/>
        <w:numPr>
          <w:ilvl w:val="0"/>
          <w:numId w:val="1018"/>
        </w:numPr>
      </w:pPr>
      <w:r>
        <w:t xml:space="preserve">Initial ZYN Ultra commentary is favorable;</w:t>
      </w:r>
    </w:p>
    <w:p>
      <w:pPr>
        <w:pStyle w:val="Compact"/>
        <w:numPr>
          <w:ilvl w:val="0"/>
          <w:numId w:val="1018"/>
        </w:numPr>
      </w:pPr>
      <w:r>
        <w:t xml:space="preserve">Japan IQOS share proves resilient;</w:t>
      </w:r>
    </w:p>
    <w:p>
      <w:pPr>
        <w:pStyle w:val="Compact"/>
        <w:numPr>
          <w:ilvl w:val="0"/>
          <w:numId w:val="1018"/>
        </w:numPr>
      </w:pPr>
      <w:r>
        <w:t xml:space="preserve">Full-year organic and adjusted EPS guidance is maintained or raised.</w:t>
      </w:r>
    </w:p>
    <w:bookmarkEnd w:id="30"/>
    <w:bookmarkStart w:id="31" w:name="acceptable-result"/>
    <w:p>
      <w:pPr>
        <w:pStyle w:val="Heading3"/>
      </w:pPr>
      <w:r>
        <w:t xml:space="preserve">Acceptable result</w:t>
      </w:r>
    </w:p>
    <w:p>
      <w:pPr>
        <w:pStyle w:val="Compact"/>
        <w:numPr>
          <w:ilvl w:val="0"/>
          <w:numId w:val="1019"/>
        </w:numPr>
      </w:pPr>
      <w:r>
        <w:t xml:space="preserve">EPS and revenue broadly meet expectations;</w:t>
      </w:r>
    </w:p>
    <w:p>
      <w:pPr>
        <w:pStyle w:val="Compact"/>
        <w:numPr>
          <w:ilvl w:val="0"/>
          <w:numId w:val="1019"/>
        </w:numPr>
      </w:pPr>
      <w:r>
        <w:t xml:space="preserve">Japan and ZYN inventory effects explain softer volumes;</w:t>
      </w:r>
    </w:p>
    <w:p>
      <w:pPr>
        <w:pStyle w:val="Compact"/>
        <w:numPr>
          <w:ilvl w:val="0"/>
          <w:numId w:val="1019"/>
        </w:numPr>
      </w:pPr>
      <w:r>
        <w:t xml:space="preserve">International smoke-free profit growth remains strong;</w:t>
      </w:r>
    </w:p>
    <w:p>
      <w:pPr>
        <w:pStyle w:val="Compact"/>
        <w:numPr>
          <w:ilvl w:val="0"/>
          <w:numId w:val="1019"/>
        </w:numPr>
      </w:pPr>
      <w:r>
        <w:t xml:space="preserve">Management maintains guidance and gives specific evidence supporting H2 acceleration.</w:t>
      </w:r>
    </w:p>
    <w:bookmarkEnd w:id="31"/>
    <w:bookmarkStart w:id="32" w:name="bearish-result"/>
    <w:p>
      <w:pPr>
        <w:pStyle w:val="Heading3"/>
      </w:pPr>
      <w:r>
        <w:t xml:space="preserve">Bearish result</w:t>
      </w:r>
    </w:p>
    <w:p>
      <w:pPr>
        <w:pStyle w:val="Compact"/>
        <w:numPr>
          <w:ilvl w:val="0"/>
          <w:numId w:val="1020"/>
        </w:numPr>
      </w:pPr>
      <w:r>
        <w:t xml:space="preserve">U.S. ZYN offtake slows further or loses significant share;</w:t>
      </w:r>
    </w:p>
    <w:p>
      <w:pPr>
        <w:pStyle w:val="Compact"/>
        <w:numPr>
          <w:ilvl w:val="0"/>
          <w:numId w:val="1020"/>
        </w:numPr>
      </w:pPr>
      <w:r>
        <w:t xml:space="preserve">ZYN Ultra requires heavier-than-expected discounting;</w:t>
      </w:r>
    </w:p>
    <w:p>
      <w:pPr>
        <w:pStyle w:val="Compact"/>
        <w:numPr>
          <w:ilvl w:val="0"/>
          <w:numId w:val="1020"/>
        </w:numPr>
      </w:pPr>
      <w:r>
        <w:t xml:space="preserve">Japan weakness extends beyond anticipated pantry-loading reversal;</w:t>
      </w:r>
    </w:p>
    <w:p>
      <w:pPr>
        <w:pStyle w:val="Compact"/>
        <w:numPr>
          <w:ilvl w:val="0"/>
          <w:numId w:val="1020"/>
        </w:numPr>
      </w:pPr>
      <w:r>
        <w:t xml:space="preserve">International smoke-free growth falls materially below 10%;</w:t>
      </w:r>
    </w:p>
    <w:p>
      <w:pPr>
        <w:pStyle w:val="Compact"/>
        <w:numPr>
          <w:ilvl w:val="0"/>
          <w:numId w:val="1020"/>
        </w:numPr>
      </w:pPr>
      <w:r>
        <w:t xml:space="preserve">Combustible volumes remain down around 5% despite strong pricing;</w:t>
      </w:r>
    </w:p>
    <w:p>
      <w:pPr>
        <w:pStyle w:val="Compact"/>
        <w:numPr>
          <w:ilvl w:val="0"/>
          <w:numId w:val="1020"/>
        </w:numPr>
      </w:pPr>
      <w:r>
        <w:t xml:space="preserve">PM cuts organic operating-income or adjusted EPS guidance again.</w:t>
      </w:r>
    </w:p>
    <w:p>
      <w:r>
        <w:pict>
          <v:rect style="width:0;height:1.5pt" o:hralign="center" o:hrstd="t" o:hr="t"/>
        </w:pict>
      </w:r>
    </w:p>
    <w:bookmarkEnd w:id="32"/>
    <w:bookmarkEnd w:id="33"/>
    <w:bookmarkStart w:id="34" w:name="bottom-line"/>
    <w:p>
      <w:pPr>
        <w:pStyle w:val="Heading2"/>
      </w:pPr>
      <w:r>
        <w:t xml:space="preserve">Bottom line</w:t>
      </w:r>
    </w:p>
    <w:p>
      <w:pPr>
        <w:pStyle w:val="FirstParagraph"/>
      </w:pPr>
      <w:r>
        <w:t xml:space="preserve">PM’s Q2 report is less about whether adjusted EPS lands a few cents above or below $2.07 and more about whether the company’s growth mix is evolving as promised.</w:t>
      </w:r>
    </w:p>
    <w:p>
      <w:pPr>
        <w:pStyle w:val="BodyText"/>
      </w:pPr>
      <w:r>
        <w:t xml:space="preserve">The international business appears healthy: IQOS remains the core earnings engine, while VEEV and international ZYN are adding breadth. The principal uncertainty is the United States, where PM needs to show that ZYN’s recent slowdown is addressable through inventory normalization, improved pricing, ZYN Ultra and the newly authorized modified-risk claim.</w:t>
      </w:r>
    </w:p>
    <w:p>
      <w:pPr>
        <w:pStyle w:val="BodyText"/>
      </w:pPr>
      <w:r>
        <w:t xml:space="preserve">At roughly 22 times current-year guidance, investors are already paying for successful execution. A clean report with maintained guidance and credible H2 U.S. improvement could support the premium. A second guidance disappointment or further deterioration in ZYN would leave little valuation cushion.</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2026-07-22T00:23:52Z</dcterms:created>
  <dcterms:modified xsi:type="dcterms:W3CDTF">2026-07-22T00:23:52Z</dcterms:modified>
</cp:coreProperties>
</file>

<file path=docProps/custom.xml><?xml version="1.0" encoding="utf-8"?>
<Properties xmlns="http://schemas.openxmlformats.org/officeDocument/2006/custom-properties" xmlns:vt="http://schemas.openxmlformats.org/officeDocument/2006/docPropsVTypes"/>
</file>