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fa573cc290b566a5fc84200f940c7af87f02a1"/>
    <w:p>
      <w:pPr>
        <w:pStyle w:val="Heading1"/>
      </w:pPr>
      <w:r>
        <w:t xml:space="preserve">Philip Morris International (NYSE: PM) — 2Q26 Earnings Preview</w:t>
      </w:r>
    </w:p>
    <w:p>
      <w:pPr>
        <w:pStyle w:val="BlockText"/>
      </w:pPr>
      <w:r>
        <w:rPr>
          <w:b/>
          <w:bCs/>
        </w:rPr>
        <w:t xml:space="preserve">Timing note:</w:t>
      </w:r>
      <w:r>
        <w:t xml:space="preserve"> </w:t>
      </w:r>
      <w:r>
        <w:t xml:space="preserve">July 22, 2026 is</w:t>
      </w:r>
      <w:r>
        <w:t xml:space="preserve"> </w:t>
      </w:r>
      <w:r>
        <w:rPr>
          <w:b/>
          <w:bCs/>
        </w:rPr>
        <w:t xml:space="preserve">today</w:t>
      </w:r>
      <w:r>
        <w:t xml:space="preserve">, not tomorrow. PMI is scheduled to report</w:t>
      </w:r>
      <w:r>
        <w:t xml:space="preserve"> </w:t>
      </w:r>
      <w:r>
        <w:rPr>
          <w:b/>
          <w:bCs/>
        </w:rPr>
        <w:t xml:space="preserve">2Q26 results before the U.S. market open</w:t>
      </w:r>
      <w:r>
        <w:t xml:space="preserve">, followed by its 2026Q2 earnings call.</w:t>
      </w:r>
    </w:p>
    <w:bookmarkStart w:id="9" w:name="bottom-line"/>
    <w:p>
      <w:pPr>
        <w:pStyle w:val="Heading2"/>
      </w:pPr>
      <w:r>
        <w:t xml:space="preserve">Bottom line</w:t>
      </w:r>
    </w:p>
    <w:p>
      <w:pPr>
        <w:pStyle w:val="FirstParagraph"/>
      </w:pPr>
      <w:r>
        <w:t xml:space="preserve">PM enters earnings with a strong fundamental setup but elevated expectations. The investment case remains centered on continued</w:t>
      </w:r>
      <w:r>
        <w:t xml:space="preserve"> </w:t>
      </w:r>
      <w:r>
        <w:rPr>
          <w:b/>
          <w:bCs/>
        </w:rPr>
        <w:t xml:space="preserve">international IQOS momentum</w:t>
      </w:r>
      <w:r>
        <w:t xml:space="preserve">, structurally favorable</w:t>
      </w:r>
      <w:r>
        <w:t xml:space="preserve"> </w:t>
      </w:r>
      <w:r>
        <w:rPr>
          <w:b/>
          <w:bCs/>
        </w:rPr>
        <w:t xml:space="preserve">smoke-free mix</w:t>
      </w:r>
      <w:r>
        <w:t xml:space="preserve">, pricing power in combustibles, and a potential second-half improvement in the U.S. nicotine-pouch business as ZYN comparisons normalize and innovation reaches the market.</w:t>
      </w:r>
    </w:p>
    <w:p>
      <w:pPr>
        <w:pStyle w:val="BodyText"/>
      </w:pPr>
      <w:r>
        <w:t xml:space="preserve">The near-term debate is less about whether PMI can post a solid quarter—it guided to it—and more about whether it can</w:t>
      </w:r>
      <w:r>
        <w:t xml:space="preserve"> </w:t>
      </w:r>
      <w:r>
        <w:rPr>
          <w:b/>
          <w:bCs/>
        </w:rPr>
        <w:t xml:space="preserve">reaffirm or raise its full-year outlook</w:t>
      </w:r>
      <w:r>
        <w:t xml:space="preserve"> </w:t>
      </w:r>
      <w:r>
        <w:t xml:space="preserve">while demonstrating that the U.S. ZYN growth slowdown is manageable. Consensus expectations appear to be near the</w:t>
      </w:r>
      <w:r>
        <w:t xml:space="preserve"> </w:t>
      </w:r>
      <w:r>
        <w:rPr>
          <w:b/>
          <w:bCs/>
        </w:rPr>
        <w:t xml:space="preserve">top end of PMI’s own 2Q adjusted EPS guide</w:t>
      </w:r>
      <w:r>
        <w:t xml:space="preserve">, which raises the bar for the stock reaction.</w:t>
      </w:r>
    </w:p>
    <w:p>
      <w:pPr>
        <w:pStyle w:val="BodyText"/>
      </w:pPr>
      <w:r>
        <w:t xml:space="preserve">PM shares closed at</w:t>
      </w:r>
      <w:r>
        <w:t xml:space="preserve"> </w:t>
      </w:r>
      <w:r>
        <w:rPr>
          <w:b/>
          <w:bCs/>
        </w:rPr>
        <w:t xml:space="preserve">$188.07 on July 21</w:t>
      </w:r>
      <w:r>
        <w:t xml:space="preserve">, up roughly</w:t>
      </w:r>
      <w:r>
        <w:t xml:space="preserve"> </w:t>
      </w:r>
      <w:r>
        <w:rPr>
          <w:b/>
          <w:bCs/>
        </w:rPr>
        <w:t xml:space="preserve">17% year to date</w:t>
      </w:r>
      <w:r>
        <w:t xml:space="preserve"> </w:t>
      </w:r>
      <w:r>
        <w:t xml:space="preserve">and near their recent July high of $192.98. That performance suggests investors will likely require a clean beat, strong qualitative U.S. commentary, or a guidance lift rather than merely an in-line result.</w:t>
      </w:r>
    </w:p>
    <w:p>
      <w:r>
        <w:pict>
          <v:rect style="width:0;height:1.5pt" o:hralign="center" o:hrstd="t" o:hr="t"/>
        </w:pic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PMI 2Q26 guidance / current expectation</w:t>
            </w:r>
          </w:p>
        </w:tc>
      </w:tr>
      <w:tr>
        <w:tc>
          <w:tcPr/>
          <w:p>
            <w:pPr>
              <w:pStyle w:val="Compact"/>
            </w:pPr>
            <w:r>
              <w:t xml:space="preserve">Adjusted diluted EPS</w:t>
            </w:r>
          </w:p>
        </w:tc>
        <w:tc>
          <w:tcPr/>
          <w:p>
            <w:pPr>
              <w:pStyle w:val="Compact"/>
              <w:jc w:val="right"/>
            </w:pPr>
            <m:oMath>
              <m:r>
                <m:t>2.02</m:t>
              </m:r>
              <m:r>
                <m:rPr>
                  <m:sty m:val="p"/>
                </m:rPr>
                <m:t>–</m:t>
              </m:r>
            </m:oMath>
            <w:r>
              <w:rPr>
                <w:b/>
                <w:bCs/>
              </w:rPr>
              <w:t xml:space="preserve">2.07</w:t>
            </w:r>
          </w:p>
        </w:tc>
      </w:tr>
      <w:tr>
        <w:tc>
          <w:tcPr/>
          <w:p>
            <w:pPr>
              <w:pStyle w:val="Compact"/>
            </w:pPr>
            <w:r>
              <w:t xml:space="preserve">Street EPS expectation</w:t>
            </w:r>
          </w:p>
        </w:tc>
        <w:tc>
          <w:tcPr/>
          <w:p>
            <w:pPr>
              <w:pStyle w:val="Compact"/>
              <w:jc w:val="right"/>
            </w:pPr>
            <w:r>
              <w:rPr>
                <w:b/>
                <w:bCs/>
              </w:rPr>
              <w:t xml:space="preserve">~$2.07</w:t>
            </w:r>
          </w:p>
        </w:tc>
      </w:tr>
      <w:tr>
        <w:tc>
          <w:tcPr/>
          <w:p>
            <w:pPr>
              <w:pStyle w:val="Compact"/>
            </w:pPr>
            <w:r>
              <w:t xml:space="preserve">Organic net-revenue growth</w:t>
            </w:r>
          </w:p>
        </w:tc>
        <w:tc>
          <w:tcPr/>
          <w:p>
            <w:pPr>
              <w:pStyle w:val="Compact"/>
              <w:jc w:val="right"/>
            </w:pPr>
            <w:r>
              <w:rPr>
                <w:b/>
                <w:bCs/>
              </w:rPr>
              <w:t xml:space="preserve">Mid-single digits</w:t>
            </w:r>
            <w:r>
              <w:t xml:space="preserve">; Street ~5%</w:t>
            </w:r>
          </w:p>
        </w:tc>
      </w:tr>
      <w:tr>
        <w:tc>
          <w:tcPr/>
          <w:p>
            <w:pPr>
              <w:pStyle w:val="Compact"/>
            </w:pPr>
            <w:r>
              <w:t xml:space="preserve">Smoke-free revenue growth</w:t>
            </w:r>
          </w:p>
        </w:tc>
        <w:tc>
          <w:tcPr/>
          <w:p>
            <w:pPr>
              <w:pStyle w:val="Compact"/>
              <w:jc w:val="right"/>
            </w:pPr>
            <w:r>
              <w:t xml:space="preserve">Street ~10%</w:t>
            </w:r>
          </w:p>
        </w:tc>
      </w:tr>
      <w:tr>
        <w:tc>
          <w:tcPr/>
          <w:p>
            <w:pPr>
              <w:pStyle w:val="Compact"/>
            </w:pPr>
            <w:r>
              <w:t xml:space="preserve">HTU shipment volume</w:t>
            </w:r>
          </w:p>
        </w:tc>
        <w:tc>
          <w:tcPr/>
          <w:p>
            <w:pPr>
              <w:pStyle w:val="Compact"/>
              <w:jc w:val="right"/>
            </w:pPr>
            <w:r>
              <w:rPr>
                <w:b/>
                <w:bCs/>
              </w:rPr>
              <w:t xml:space="preserve">40–42 billion units</w:t>
            </w:r>
          </w:p>
        </w:tc>
      </w:tr>
      <w:tr>
        <w:tc>
          <w:tcPr/>
          <w:p>
            <w:pPr>
              <w:pStyle w:val="Compact"/>
            </w:pPr>
            <w:r>
              <w:t xml:space="preserve">Cigarette shipment volume</w:t>
            </w:r>
          </w:p>
        </w:tc>
        <w:tc>
          <w:tcPr/>
          <w:p>
            <w:pPr>
              <w:pStyle w:val="Compact"/>
              <w:jc w:val="right"/>
            </w:pPr>
            <w:r>
              <w:rPr>
                <w:b/>
                <w:bCs/>
              </w:rPr>
              <w:t xml:space="preserve">Low-single-digit decline</w:t>
            </w:r>
          </w:p>
        </w:tc>
      </w:tr>
      <w:tr>
        <w:tc>
          <w:tcPr/>
          <w:p>
            <w:pPr>
              <w:pStyle w:val="Compact"/>
            </w:pPr>
            <w:r>
              <w:t xml:space="preserve">Full-year adjusted EPS guidance</w:t>
            </w:r>
          </w:p>
        </w:tc>
        <w:tc>
          <w:tcPr/>
          <w:p>
            <w:pPr>
              <w:pStyle w:val="Compact"/>
              <w:jc w:val="right"/>
            </w:pPr>
            <m:oMath>
              <m:r>
                <m:t>8.36</m:t>
              </m:r>
              <m:r>
                <m:rPr>
                  <m:sty m:val="p"/>
                </m:rPr>
                <m:t>–</m:t>
              </m:r>
            </m:oMath>
            <w:r>
              <w:rPr>
                <w:b/>
                <w:bCs/>
              </w:rPr>
              <w:t xml:space="preserve">8.51</w:t>
            </w:r>
          </w:p>
        </w:tc>
      </w:tr>
      <w:tr>
        <w:tc>
          <w:tcPr/>
          <w:p>
            <w:pPr>
              <w:pStyle w:val="Compact"/>
            </w:pPr>
            <w:r>
              <w:t xml:space="preserve">Full-year organic revenue growth</w:t>
            </w:r>
          </w:p>
        </w:tc>
        <w:tc>
          <w:tcPr/>
          <w:p>
            <w:pPr>
              <w:pStyle w:val="Compact"/>
              <w:jc w:val="right"/>
            </w:pPr>
            <w:r>
              <w:rPr>
                <w:b/>
                <w:bCs/>
              </w:rPr>
              <w:t xml:space="preserve">5%–7%</w:t>
            </w:r>
          </w:p>
        </w:tc>
      </w:tr>
      <w:tr>
        <w:tc>
          <w:tcPr/>
          <w:p>
            <w:pPr>
              <w:pStyle w:val="Compact"/>
            </w:pPr>
            <w:r>
              <w:t xml:space="preserve">Full-year organic operating-income growth</w:t>
            </w:r>
          </w:p>
        </w:tc>
        <w:tc>
          <w:tcPr/>
          <w:p>
            <w:pPr>
              <w:pStyle w:val="Compact"/>
              <w:jc w:val="right"/>
            </w:pPr>
            <w:r>
              <w:rPr>
                <w:b/>
                <w:bCs/>
              </w:rPr>
              <w:t xml:space="preserve">7%–9%</w:t>
            </w:r>
          </w:p>
        </w:tc>
      </w:tr>
      <w:tr>
        <w:tc>
          <w:tcPr/>
          <w:p>
            <w:pPr>
              <w:pStyle w:val="Compact"/>
            </w:pPr>
            <w:r>
              <w:t xml:space="preserve">Full-year currency-neutral adjusted EPS growth</w:t>
            </w:r>
          </w:p>
        </w:tc>
        <w:tc>
          <w:tcPr/>
          <w:p>
            <w:pPr>
              <w:pStyle w:val="Compact"/>
              <w:jc w:val="right"/>
            </w:pPr>
            <w:r>
              <w:rPr>
                <w:b/>
                <w:bCs/>
              </w:rPr>
              <w:t xml:space="preserve">7.5%–9.5%</w:t>
            </w:r>
          </w:p>
        </w:tc>
      </w:tr>
    </w:tbl>
    <w:p>
      <w:pPr>
        <w:pStyle w:val="BodyText"/>
      </w:pPr>
      <w:r>
        <w:t xml:space="preserve">The key nuance is that PMI’s 2Q EPS guide included only about a</w:t>
      </w:r>
      <w:r>
        <w:t xml:space="preserve"> </w:t>
      </w:r>
      <m:oMath>
        <m:r>
          <m:t>0.02</m:t>
        </m:r>
        <m:r>
          <m:t>F</m:t>
        </m:r>
        <m:r>
          <m:t>X</m:t>
        </m:r>
        <m:r>
          <m:t>b</m:t>
        </m:r>
        <m:r>
          <m:t>e</m:t>
        </m:r>
        <m:r>
          <m:t>n</m:t>
        </m:r>
        <m:r>
          <m:t>e</m:t>
        </m:r>
        <m:r>
          <m:t>f</m:t>
        </m:r>
        <m:r>
          <m:t>i</m:t>
        </m:r>
        <m:r>
          <m:t>t</m:t>
        </m:r>
        <m:r>
          <m:rPr>
            <m:sty m:val="p"/>
          </m:rPr>
          <m:t>*</m:t>
        </m:r>
        <m:r>
          <m:rPr>
            <m:sty m:val="p"/>
          </m:rPr>
          <m:t>*</m:t>
        </m:r>
        <m:r>
          <m:rPr>
            <m:sty m:val="p"/>
          </m:rPr>
          <m:t>,</m:t>
        </m:r>
        <m:r>
          <m:t>w</m:t>
        </m:r>
        <m:r>
          <m:t>h</m:t>
        </m:r>
        <m:r>
          <m:t>i</m:t>
        </m:r>
        <m:r>
          <m:t>l</m:t>
        </m:r>
        <m:r>
          <m:t>e</m:t>
        </m:r>
        <m:r>
          <m:t>i</m:t>
        </m:r>
        <m:r>
          <m:t>t</m:t>
        </m:r>
        <m:r>
          <m:t>s</m:t>
        </m:r>
        <m:r>
          <m:t>f</m:t>
        </m:r>
        <m:r>
          <m:t>u</m:t>
        </m:r>
        <m:r>
          <m:t>l</m:t>
        </m:r>
        <m:r>
          <m:t>l</m:t>
        </m:r>
        <m:r>
          <m:rPr>
            <m:sty m:val="p"/>
          </m:rPr>
          <m:t>−</m:t>
        </m:r>
        <m:r>
          <m:t>y</m:t>
        </m:r>
        <m:r>
          <m:t>e</m:t>
        </m:r>
        <m:r>
          <m:t>a</m:t>
        </m:r>
        <m:r>
          <m:t>r</m:t>
        </m:r>
        <m:r>
          <m:t>g</m:t>
        </m:r>
        <m:r>
          <m:t>u</m:t>
        </m:r>
        <m:r>
          <m:t>i</m:t>
        </m:r>
        <m:r>
          <m:t>d</m:t>
        </m:r>
        <m:r>
          <m:t>e</m:t>
        </m:r>
        <m:r>
          <m:t>a</m:t>
        </m:r>
        <m:r>
          <m:t>s</m:t>
        </m:r>
        <m:r>
          <m:t>s</m:t>
        </m:r>
        <m:r>
          <m:t>u</m:t>
        </m:r>
        <m:r>
          <m:t>m</m:t>
        </m:r>
        <m:r>
          <m:t>e</m:t>
        </m:r>
        <m:r>
          <m:t>d</m:t>
        </m:r>
        <m:r>
          <m:t>a</m:t>
        </m:r>
        <m:r>
          <m:t>l</m:t>
        </m:r>
        <m:r>
          <m:t>a</m:t>
        </m:r>
        <m:r>
          <m:t>r</m:t>
        </m:r>
        <m:r>
          <m:t>g</m:t>
        </m:r>
        <m:r>
          <m:t>e</m:t>
        </m:r>
        <m:r>
          <m:t>r</m:t>
        </m:r>
        <m:r>
          <m:rPr>
            <m:sty m:val="p"/>
          </m:rPr>
          <m:t>*</m:t>
        </m:r>
        <m:r>
          <m:rPr>
            <m:sty m:val="p"/>
          </m:rPr>
          <m:t>*</m:t>
        </m:r>
      </m:oMath>
      <w:r>
        <w:rPr>
          <w:b/>
          <w:bCs/>
        </w:rPr>
        <w:t xml:space="preserve">0.25 currency tailwind</w:t>
      </w:r>
      <w:r>
        <w:t xml:space="preserve"> </w:t>
      </w:r>
      <w:r>
        <w:t xml:space="preserve">at prevailing rates when guidance was reaffirmed in April. Investors should distinguish genuine operational upside from FX-driven revisions.</w:t>
      </w:r>
    </w:p>
    <w:p>
      <w:r>
        <w:pict>
          <v:rect style="width:0;height:1.5pt" o:hralign="center" o:hrstd="t" o:hr="t"/>
        </w:pict>
      </w:r>
    </w:p>
    <w:bookmarkEnd w:id="10"/>
    <w:bookmarkStart w:id="14" w:name="Xdb0388045730fa1748f0df1dc652f73cfb9793c"/>
    <w:p>
      <w:pPr>
        <w:pStyle w:val="Heading2"/>
      </w:pPr>
      <w:r>
        <w:t xml:space="preserve">The setup: strong international momentum, U.S. still the swing factor</w:t>
      </w:r>
    </w:p>
    <w:bookmarkStart w:id="11" w:name="X359ba73b77105f7b8a33a49501817bb087daa66"/>
    <w:p>
      <w:pPr>
        <w:pStyle w:val="Heading3"/>
      </w:pPr>
      <w:r>
        <w:t xml:space="preserve">1. International smoke-free should remain the core earnings engine</w:t>
      </w:r>
    </w:p>
    <w:p>
      <w:pPr>
        <w:pStyle w:val="FirstParagraph"/>
      </w:pPr>
      <w:r>
        <w:t xml:space="preserve">PMI’s first quarter showed why the market has rewarded the company: international smoke-free revenue grew</w:t>
      </w:r>
      <w:r>
        <w:t xml:space="preserve"> </w:t>
      </w:r>
      <w:r>
        <w:rPr>
          <w:b/>
          <w:bCs/>
        </w:rPr>
        <w:t xml:space="preserve">15.8% organically</w:t>
      </w:r>
      <w:r>
        <w:t xml:space="preserve">, smoke-free gross profit grew</w:t>
      </w:r>
      <w:r>
        <w:t xml:space="preserve"> </w:t>
      </w:r>
      <w:r>
        <w:rPr>
          <w:b/>
          <w:bCs/>
        </w:rPr>
        <w:t xml:space="preserve">19.4% organically</w:t>
      </w:r>
      <w:r>
        <w:t xml:space="preserve">, and international smoke-free gross margin reached</w:t>
      </w:r>
      <w:r>
        <w:t xml:space="preserve"> </w:t>
      </w:r>
      <w:r>
        <w:rPr>
          <w:b/>
          <w:bCs/>
        </w:rPr>
        <w:t xml:space="preserve">70.0%</w:t>
      </w:r>
      <w:r>
        <w:t xml:space="preserve">.</w:t>
      </w:r>
    </w:p>
    <w:p>
      <w:pPr>
        <w:pStyle w:val="BodyText"/>
      </w:pPr>
      <w:r>
        <w:t xml:space="preserve">The underlying drivers were broad-based:</w:t>
      </w:r>
    </w:p>
    <w:p>
      <w:pPr>
        <w:pStyle w:val="Compact"/>
        <w:numPr>
          <w:ilvl w:val="0"/>
          <w:numId w:val="1001"/>
        </w:numPr>
      </w:pPr>
      <w:r>
        <w:rPr>
          <w:b/>
          <w:bCs/>
        </w:rPr>
        <w:t xml:space="preserve">IQOS adjusted in-market sales grew 10.9%</w:t>
      </w:r>
      <w:r>
        <w:t xml:space="preserve"> </w:t>
      </w:r>
      <w:r>
        <w:t xml:space="preserve">in 1Q.</w:t>
      </w:r>
    </w:p>
    <w:p>
      <w:pPr>
        <w:pStyle w:val="Compact"/>
        <w:numPr>
          <w:ilvl w:val="0"/>
          <w:numId w:val="1001"/>
        </w:numPr>
      </w:pPr>
      <w:r>
        <w:t xml:space="preserve">HTU shipments rose</w:t>
      </w:r>
      <w:r>
        <w:t xml:space="preserve"> </w:t>
      </w:r>
      <w:r>
        <w:rPr>
          <w:b/>
          <w:bCs/>
        </w:rPr>
        <w:t xml:space="preserve">11%</w:t>
      </w:r>
      <w:r>
        <w:t xml:space="preserve">, to</w:t>
      </w:r>
      <w:r>
        <w:t xml:space="preserve"> </w:t>
      </w:r>
      <w:r>
        <w:rPr>
          <w:b/>
          <w:bCs/>
        </w:rPr>
        <w:t xml:space="preserve">41.3 billion units</w:t>
      </w:r>
      <w:r>
        <w:t xml:space="preserve">.</w:t>
      </w:r>
    </w:p>
    <w:p>
      <w:pPr>
        <w:pStyle w:val="Compact"/>
        <w:numPr>
          <w:ilvl w:val="0"/>
          <w:numId w:val="1001"/>
        </w:numPr>
      </w:pPr>
      <w:r>
        <w:t xml:space="preserve">IQOS remained strong in Europe and Japan, while newer markets—including Taiwan—added incremental growth.</w:t>
      </w:r>
    </w:p>
    <w:p>
      <w:pPr>
        <w:pStyle w:val="Compact"/>
        <w:numPr>
          <w:ilvl w:val="0"/>
          <w:numId w:val="1001"/>
        </w:numPr>
      </w:pPr>
      <w:r>
        <w:t xml:space="preserve">VEEV’s volumes nearly doubled, while ZYN continued to grow rapidly outside the mature Nordic markets.</w:t>
      </w:r>
    </w:p>
    <w:p>
      <w:pPr>
        <w:pStyle w:val="Compact"/>
        <w:numPr>
          <w:ilvl w:val="0"/>
          <w:numId w:val="1001"/>
        </w:numPr>
      </w:pPr>
      <w:r>
        <w:t xml:space="preserve">PMI’s three-category portfolio—IQOS, ZYN, and VEEV—gives it multiple growth vectors beyond cigarettes.</w:t>
      </w:r>
    </w:p>
    <w:p>
      <w:pPr>
        <w:pStyle w:val="FirstParagraph"/>
      </w:pPr>
      <w:r>
        <w:t xml:space="preserve">For 2Q, the most important question is whether IQOS growth remains near double digit despite a tougher Japan comparison. Management had explicitly flagged that Japanese consumer pantry loading ahead of an April 1 excise-related price increase benefited 1Q by about</w:t>
      </w:r>
      <w:r>
        <w:t xml:space="preserve"> </w:t>
      </w:r>
      <w:r>
        <w:rPr>
          <w:b/>
          <w:bCs/>
        </w:rPr>
        <w:t xml:space="preserve">0.5 billion HTUs</w:t>
      </w:r>
      <w:r>
        <w:t xml:space="preserve">, and that 2Q adjusted in-market-sales growth would slow as this effect reverses.</w:t>
      </w:r>
    </w:p>
    <w:p>
      <w:pPr>
        <w:pStyle w:val="BodyText"/>
      </w:pPr>
      <w:r>
        <w:rPr>
          <w:b/>
          <w:bCs/>
        </w:rPr>
        <w:t xml:space="preserve">Read-through:</w:t>
      </w:r>
      <w:r>
        <w:t xml:space="preserve"> </w:t>
      </w:r>
      <w:r>
        <w:t xml:space="preserve">a moderation in Japan is expected; a material deceleration outside Japan would be more concerning.</w:t>
      </w:r>
    </w:p>
    <w:p>
      <w:r>
        <w:pict>
          <v:rect style="width:0;height:1.5pt" o:hralign="center" o:hrstd="t" o:hr="t"/>
        </w:pict>
      </w:r>
    </w:p>
    <w:bookmarkEnd w:id="11"/>
    <w:bookmarkStart w:id="12" w:name="X7ece5a6637337eae3d8a5e30fe925a8589108d2"/>
    <w:p>
      <w:pPr>
        <w:pStyle w:val="Heading3"/>
      </w:pPr>
      <w:r>
        <w:t xml:space="preserve">2. U.S. ZYN performance is the highest-value debate</w:t>
      </w:r>
    </w:p>
    <w:p>
      <w:pPr>
        <w:pStyle w:val="FirstParagraph"/>
      </w:pPr>
      <w:r>
        <w:t xml:space="preserve">The U.S. business disappointed in 1Q, but the weakness was largely attributable to inventory, promotional, and investment dynamics rather than a collapse in consumer demand:</w:t>
      </w:r>
    </w:p>
    <w:p>
      <w:pPr>
        <w:pStyle w:val="Compact"/>
        <w:numPr>
          <w:ilvl w:val="0"/>
          <w:numId w:val="1002"/>
        </w:numPr>
      </w:pPr>
      <w:r>
        <w:t xml:space="preserve">ZYN offtake rose</w:t>
      </w:r>
      <w:r>
        <w:t xml:space="preserve"> </w:t>
      </w:r>
      <w:r>
        <w:rPr>
          <w:b/>
          <w:bCs/>
        </w:rPr>
        <w:t xml:space="preserve">10%</w:t>
      </w:r>
      <w:r>
        <w:t xml:space="preserve"> </w:t>
      </w:r>
      <w:r>
        <w:t xml:space="preserve">in 1Q.</w:t>
      </w:r>
    </w:p>
    <w:p>
      <w:pPr>
        <w:pStyle w:val="Compact"/>
        <w:numPr>
          <w:ilvl w:val="0"/>
          <w:numId w:val="1002"/>
        </w:numPr>
      </w:pPr>
      <w:r>
        <w:t xml:space="preserve">Reported ZYN shipments fell to</w:t>
      </w:r>
      <w:r>
        <w:t xml:space="preserve"> </w:t>
      </w:r>
      <w:r>
        <w:rPr>
          <w:b/>
          <w:bCs/>
        </w:rPr>
        <w:t xml:space="preserve">155 million cans</w:t>
      </w:r>
      <w:r>
        <w:t xml:space="preserve">, reflecting normalization of channel inventory after a 1Q25 inventory rebuild and a downstream inventory overhang entering 2026.</w:t>
      </w:r>
    </w:p>
    <w:p>
      <w:pPr>
        <w:pStyle w:val="Compact"/>
        <w:numPr>
          <w:ilvl w:val="0"/>
          <w:numId w:val="1002"/>
        </w:numPr>
      </w:pPr>
      <w:r>
        <w:t xml:space="preserve">PMI estimated underlying, offtake-linked 1Q shipments at roughly</w:t>
      </w:r>
      <w:r>
        <w:t xml:space="preserve"> </w:t>
      </w:r>
      <w:r>
        <w:rPr>
          <w:b/>
          <w:bCs/>
        </w:rPr>
        <w:t xml:space="preserve">175 million cans</w:t>
      </w:r>
      <w:r>
        <w:t xml:space="preserve">, about 10% above the comparable underlying prior-year level.</w:t>
      </w:r>
    </w:p>
    <w:p>
      <w:pPr>
        <w:pStyle w:val="Compact"/>
        <w:numPr>
          <w:ilvl w:val="0"/>
          <w:numId w:val="1002"/>
        </w:numPr>
      </w:pPr>
      <w:r>
        <w:t xml:space="preserve">The company expects ZYN shipments to more closely track offtake going forward, against underlying 2025 shipment bases of approximately</w:t>
      </w:r>
      <w:r>
        <w:t xml:space="preserve"> </w:t>
      </w:r>
      <w:r>
        <w:rPr>
          <w:b/>
          <w:bCs/>
        </w:rPr>
        <w:t xml:space="preserve">180 million cans in 2Q</w:t>
      </w:r>
      <w:r>
        <w:t xml:space="preserve">,</w:t>
      </w:r>
      <w:r>
        <w:t xml:space="preserve"> </w:t>
      </w:r>
      <w:r>
        <w:rPr>
          <w:b/>
          <w:bCs/>
        </w:rPr>
        <w:t xml:space="preserve">205 million in 3Q</w:t>
      </w:r>
      <w:r>
        <w:t xml:space="preserve">, and</w:t>
      </w:r>
      <w:r>
        <w:t xml:space="preserve"> </w:t>
      </w:r>
      <w:r>
        <w:rPr>
          <w:b/>
          <w:bCs/>
        </w:rPr>
        <w:t xml:space="preserve">200 million in 4Q</w:t>
      </w:r>
      <w:r>
        <w:t xml:space="preserve">.</w:t>
      </w:r>
    </w:p>
    <w:p>
      <w:pPr>
        <w:pStyle w:val="FirstParagraph"/>
      </w:pPr>
      <w:r>
        <w:t xml:space="preserve">The concern is that recent category and ZYN scanner trends have moderated, while PMI’s portfolio lacks exposure to some faster-growing high-strength and flavor segments. Management has argued that upcoming innovation—including</w:t>
      </w:r>
      <w:r>
        <w:t xml:space="preserve"> </w:t>
      </w:r>
      <w:r>
        <w:rPr>
          <w:b/>
          <w:bCs/>
        </w:rPr>
        <w:t xml:space="preserve">ZYN Ultra</w:t>
      </w:r>
      <w:r>
        <w:t xml:space="preserve">, subject to FDA authorization—should improve the brand’s competitive positioning in the second half.</w:t>
      </w:r>
    </w:p>
    <w:bookmarkEnd w:id="12"/>
    <w:bookmarkStart w:id="13" w:name="what-investors-need-to-hear-on-zyn"/>
    <w:p>
      <w:pPr>
        <w:pStyle w:val="Heading3"/>
      </w:pPr>
      <w:r>
        <w:t xml:space="preserve">What investors need to hear on ZYN</w:t>
      </w:r>
    </w:p>
    <w:p>
      <w:pPr>
        <w:pStyle w:val="Compact"/>
        <w:numPr>
          <w:ilvl w:val="0"/>
          <w:numId w:val="1003"/>
        </w:numPr>
      </w:pPr>
      <w:r>
        <w:rPr>
          <w:b/>
          <w:bCs/>
        </w:rPr>
        <w:t xml:space="preserve">Current offtake growth:</w:t>
      </w:r>
      <w:r>
        <w:t xml:space="preserve"> </w:t>
      </w:r>
      <w:r>
        <w:t xml:space="preserve">Is ZYN holding, reaccelerating, or slipping below the 10% 1Q pace?</w:t>
      </w:r>
    </w:p>
    <w:p>
      <w:pPr>
        <w:pStyle w:val="Compact"/>
        <w:numPr>
          <w:ilvl w:val="0"/>
          <w:numId w:val="1003"/>
        </w:numPr>
      </w:pPr>
      <w:r>
        <w:rPr>
          <w:b/>
          <w:bCs/>
        </w:rPr>
        <w:t xml:space="preserve">Shipments versus offtake:</w:t>
      </w:r>
      <w:r>
        <w:t xml:space="preserve"> </w:t>
      </w:r>
      <w:r>
        <w:t xml:space="preserve">Did 2Q shipments normalize as expected?</w:t>
      </w:r>
    </w:p>
    <w:p>
      <w:pPr>
        <w:pStyle w:val="Compact"/>
        <w:numPr>
          <w:ilvl w:val="0"/>
          <w:numId w:val="1003"/>
        </w:numPr>
      </w:pPr>
      <w:r>
        <w:rPr>
          <w:b/>
          <w:bCs/>
        </w:rPr>
        <w:t xml:space="preserve">Pricing and promotions:</w:t>
      </w:r>
      <w:r>
        <w:t xml:space="preserve"> </w:t>
      </w:r>
      <w:r>
        <w:t xml:space="preserve">Is the premium positioning intact without sacrificing volume and share?</w:t>
      </w:r>
    </w:p>
    <w:p>
      <w:pPr>
        <w:pStyle w:val="Compact"/>
        <w:numPr>
          <w:ilvl w:val="0"/>
          <w:numId w:val="1003"/>
        </w:numPr>
      </w:pPr>
      <w:r>
        <w:rPr>
          <w:b/>
          <w:bCs/>
        </w:rPr>
        <w:t xml:space="preserve">Innovation timing:</w:t>
      </w:r>
      <w:r>
        <w:t xml:space="preserve"> </w:t>
      </w:r>
      <w:r>
        <w:t xml:space="preserve">Has the FDA process advanced sufficiently to support a 2026 launch cadence?</w:t>
      </w:r>
    </w:p>
    <w:p>
      <w:pPr>
        <w:pStyle w:val="Compact"/>
        <w:numPr>
          <w:ilvl w:val="0"/>
          <w:numId w:val="1003"/>
        </w:numPr>
      </w:pPr>
      <w:r>
        <w:rPr>
          <w:b/>
          <w:bCs/>
        </w:rPr>
        <w:t xml:space="preserve">Category share:</w:t>
      </w:r>
      <w:r>
        <w:t xml:space="preserve"> </w:t>
      </w:r>
      <w:r>
        <w:t xml:space="preserve">Is ZYN still defending leadership as competitors target high-strength and flavored segments?</w:t>
      </w:r>
    </w:p>
    <w:p>
      <w:pPr>
        <w:pStyle w:val="FirstParagraph"/>
      </w:pPr>
      <w:r>
        <w:t xml:space="preserve">A credible second-half U.S. improvement is central to maintaining the full-year growth algorithm. Conversely, another quarter of decelerating ZYN offtake or delayed innovation could lead investors to question the 2026 EPS back-half weighting.</w:t>
      </w:r>
    </w:p>
    <w:p>
      <w:r>
        <w:pict>
          <v:rect style="width:0;height:1.5pt" o:hralign="center" o:hrstd="t" o:hr="t"/>
        </w:pict>
      </w:r>
    </w:p>
    <w:bookmarkEnd w:id="13"/>
    <w:bookmarkEnd w:id="14"/>
    <w:bookmarkStart w:id="15" w:name="Xc95052935da56100db67a10d762b241440982c1"/>
    <w:p>
      <w:pPr>
        <w:pStyle w:val="Heading2"/>
      </w:pPr>
      <w:r>
        <w:t xml:space="preserve">Combustibles: pricing should offset volume, but the bar remains high</w:t>
      </w:r>
    </w:p>
    <w:p>
      <w:pPr>
        <w:pStyle w:val="FirstParagraph"/>
      </w:pPr>
      <w:r>
        <w:t xml:space="preserve">PMI’s cigarette business remains an important cash and profit contributor, even as the smoke-free mix expands. In 1Q, international combustible volume declined</w:t>
      </w:r>
      <w:r>
        <w:t xml:space="preserve"> </w:t>
      </w:r>
      <w:r>
        <w:rPr>
          <w:b/>
          <w:bCs/>
        </w:rPr>
        <w:t xml:space="preserve">5.1%</w:t>
      </w:r>
      <w:r>
        <w:t xml:space="preserve">, but organic revenue still increased</w:t>
      </w:r>
      <w:r>
        <w:t xml:space="preserve"> </w:t>
      </w:r>
      <w:r>
        <w:rPr>
          <w:b/>
          <w:bCs/>
        </w:rPr>
        <w:t xml:space="preserve">1.0%</w:t>
      </w:r>
      <w:r>
        <w:t xml:space="preserve"> </w:t>
      </w:r>
      <w:r>
        <w:t xml:space="preserve">and gross profit rose</w:t>
      </w:r>
      <w:r>
        <w:t xml:space="preserve"> </w:t>
      </w:r>
      <w:r>
        <w:rPr>
          <w:b/>
          <w:bCs/>
        </w:rPr>
        <w:t xml:space="preserve">3.9%</w:t>
      </w:r>
      <w:r>
        <w:t xml:space="preserve">, driven by</w:t>
      </w:r>
      <w:r>
        <w:t xml:space="preserve"> </w:t>
      </w:r>
      <w:r>
        <w:rPr>
          <w:b/>
          <w:bCs/>
        </w:rPr>
        <w:t xml:space="preserve">8.5% pricing</w:t>
      </w:r>
      <w:r>
        <w:t xml:space="preserve"> </w:t>
      </w:r>
      <w:r>
        <w:t xml:space="preserve">and cost management.</w:t>
      </w:r>
    </w:p>
    <w:p>
      <w:pPr>
        <w:pStyle w:val="BodyText"/>
      </w:pPr>
      <w:r>
        <w:t xml:space="preserve">For the full year, management expects:</w:t>
      </w:r>
    </w:p>
    <w:p>
      <w:pPr>
        <w:pStyle w:val="Compact"/>
        <w:numPr>
          <w:ilvl w:val="0"/>
          <w:numId w:val="1004"/>
        </w:numPr>
      </w:pPr>
      <w:r>
        <w:t xml:space="preserve">Cigarette volume down about</w:t>
      </w:r>
      <w:r>
        <w:t xml:space="preserve"> </w:t>
      </w:r>
      <w:r>
        <w:rPr>
          <w:b/>
          <w:bCs/>
        </w:rPr>
        <w:t xml:space="preserve">3%</w:t>
      </w:r>
    </w:p>
    <w:p>
      <w:pPr>
        <w:pStyle w:val="Compact"/>
        <w:numPr>
          <w:ilvl w:val="0"/>
          <w:numId w:val="1004"/>
        </w:numPr>
      </w:pPr>
      <w:r>
        <w:t xml:space="preserve">Combustible pricing of</w:t>
      </w:r>
      <w:r>
        <w:t xml:space="preserve"> </w:t>
      </w:r>
      <w:r>
        <w:rPr>
          <w:b/>
          <w:bCs/>
        </w:rPr>
        <w:t xml:space="preserve">more than 6%</w:t>
      </w:r>
    </w:p>
    <w:p>
      <w:pPr>
        <w:pStyle w:val="FirstParagraph"/>
      </w:pPr>
      <w:r>
        <w:t xml:space="preserve">The 2Q guide assumes a low-single-digit cigarette shipment decline, a meaningful improvement from 1Q. Investors should focus on whether this moderation materialized and whether pricing remains sufficient to protect revenue and profit after considering consumer pressure, illicit trade, excise changes, and share trends in markets such as Indonesia, Mexico, Germany, Russia, and Turkey.</w:t>
      </w:r>
    </w:p>
    <w:p>
      <w:pPr>
        <w:pStyle w:val="BodyText"/>
      </w:pPr>
      <w:r>
        <w:rPr>
          <w:b/>
          <w:bCs/>
        </w:rPr>
        <w:t xml:space="preserve">Key risk:</w:t>
      </w:r>
      <w:r>
        <w:t xml:space="preserve"> </w:t>
      </w:r>
      <w:r>
        <w:t xml:space="preserve">exceptional first-quarter pricing may normalize in the second half, particularly against tougher comparisons. A better-than-expected 2Q combustible result would reinforce the durability of PMI’s pricing power; weaker volume or share could make the full-year pricing/volume equation more difficult.</w:t>
      </w:r>
    </w:p>
    <w:p>
      <w:r>
        <w:pict>
          <v:rect style="width:0;height:1.5pt" o:hralign="center" o:hrstd="t" o:hr="t"/>
        </w:pict>
      </w:r>
    </w:p>
    <w:bookmarkEnd w:id="15"/>
    <w:bookmarkStart w:id="16" w:name="margins-investment-and-cash-flow"/>
    <w:p>
      <w:pPr>
        <w:pStyle w:val="Heading2"/>
      </w:pPr>
      <w:r>
        <w:t xml:space="preserve">Margins, investment, and cash flow</w:t>
      </w:r>
    </w:p>
    <w:p>
      <w:pPr>
        <w:pStyle w:val="FirstParagraph"/>
      </w:pPr>
      <w:r>
        <w:t xml:space="preserve">The structural bull case is not just smoke-free growth—it is smoke-free growth that is increasingly profitable. PMI posted a 1Q adjusted operating-income margin of</w:t>
      </w:r>
      <w:r>
        <w:t xml:space="preserve"> </w:t>
      </w:r>
      <w:r>
        <w:rPr>
          <w:b/>
          <w:bCs/>
        </w:rPr>
        <w:t xml:space="preserve">41.1%</w:t>
      </w:r>
      <w:r>
        <w:t xml:space="preserve">, up 40 basis points year over year, despite commercial reinvestment.</w:t>
      </w:r>
    </w:p>
    <w:p>
      <w:pPr>
        <w:pStyle w:val="BodyText"/>
      </w:pPr>
      <w:r>
        <w:t xml:space="preserve">For 2Q, margin performance may be less clean because PMI has signaled another quarter of heavy investment behind commercial programs, innovation, manufacturing capacity, and U.S. growth. Management expects investment intensity to moderate in the second half and stated that full-year SG&amp;A growth should be at or below organic revenue growth.</w:t>
      </w:r>
    </w:p>
    <w:p>
      <w:pPr>
        <w:pStyle w:val="BodyText"/>
      </w:pPr>
      <w:r>
        <w:t xml:space="preserve">What matters most:</w:t>
      </w:r>
    </w:p>
    <w:p>
      <w:pPr>
        <w:pStyle w:val="Compact"/>
        <w:numPr>
          <w:ilvl w:val="0"/>
          <w:numId w:val="1005"/>
        </w:numPr>
      </w:pPr>
      <w:r>
        <w:rPr>
          <w:b/>
          <w:bCs/>
        </w:rPr>
        <w:t xml:space="preserve">International smoke-free gross-margin progression</w:t>
      </w:r>
    </w:p>
    <w:p>
      <w:pPr>
        <w:pStyle w:val="Compact"/>
        <w:numPr>
          <w:ilvl w:val="0"/>
          <w:numId w:val="1005"/>
        </w:numPr>
      </w:pPr>
      <w:r>
        <w:t xml:space="preserve">Whether incremental growth investment is contained as planned</w:t>
      </w:r>
    </w:p>
    <w:p>
      <w:pPr>
        <w:pStyle w:val="Compact"/>
        <w:numPr>
          <w:ilvl w:val="0"/>
          <w:numId w:val="1005"/>
        </w:numPr>
      </w:pPr>
      <w:r>
        <w:t xml:space="preserve">Confirmation of full-year organic operating-margin expansion</w:t>
      </w:r>
    </w:p>
    <w:p>
      <w:pPr>
        <w:pStyle w:val="Compact"/>
        <w:numPr>
          <w:ilvl w:val="0"/>
          <w:numId w:val="1005"/>
        </w:numPr>
      </w:pPr>
      <w:r>
        <w:t xml:space="preserve">Progress in bringing U.S. profitability back toward a more normal trajectory</w:t>
      </w:r>
    </w:p>
    <w:p>
      <w:pPr>
        <w:pStyle w:val="FirstParagraph"/>
      </w:pPr>
      <w:r>
        <w:t xml:space="preserve">Balance-sheet leverage is manageable but remains relevant. At March 31, PMI had</w:t>
      </w:r>
      <w:r>
        <w:t xml:space="preserve"> </w:t>
      </w:r>
      <m:oMath>
        <m:r>
          <m:t>51.9</m:t>
        </m:r>
        <m:r>
          <m:t>b</m:t>
        </m:r>
        <m:r>
          <m:t>i</m:t>
        </m:r>
        <m:r>
          <m:t>l</m:t>
        </m:r>
        <m:r>
          <m:t>l</m:t>
        </m:r>
        <m:r>
          <m:t>i</m:t>
        </m:r>
        <m:r>
          <m:t>o</m:t>
        </m:r>
        <m:r>
          <m:t>n</m:t>
        </m:r>
        <m:r>
          <m:t>o</m:t>
        </m:r>
        <m:r>
          <m:t>f</m:t>
        </m:r>
        <m:r>
          <m:t>t</m:t>
        </m:r>
        <m:r>
          <m:t>o</m:t>
        </m:r>
        <m:r>
          <m:t>t</m:t>
        </m:r>
        <m:r>
          <m:t>a</m:t>
        </m:r>
        <m:r>
          <m:t>l</m:t>
        </m:r>
        <m:r>
          <m:t>d</m:t>
        </m:r>
        <m:r>
          <m:t>e</m:t>
        </m:r>
        <m:r>
          <m:t>b</m:t>
        </m:r>
        <m:r>
          <m:t>t</m:t>
        </m:r>
        <m:r>
          <m:rPr>
            <m:sty m:val="p"/>
          </m:rPr>
          <m:t>*</m:t>
        </m:r>
        <m:r>
          <m:rPr>
            <m:sty m:val="p"/>
          </m:rPr>
          <m:t>*</m:t>
        </m:r>
        <m:r>
          <m:t>a</m:t>
        </m:r>
        <m:r>
          <m:t>n</m:t>
        </m:r>
        <m:r>
          <m:t>d</m:t>
        </m:r>
        <m:r>
          <m:rPr>
            <m:sty m:val="p"/>
          </m:rPr>
          <m:t>*</m:t>
        </m:r>
        <m:r>
          <m:rPr>
            <m:sty m:val="p"/>
          </m:rPr>
          <m:t>*</m:t>
        </m:r>
      </m:oMath>
      <w:r>
        <w:rPr>
          <w:b/>
          <w:bCs/>
        </w:rPr>
        <w:t xml:space="preserve">46.5 billion of net debt</w:t>
      </w:r>
      <w:r>
        <w:t xml:space="preserve">, equivalent to</w:t>
      </w:r>
      <w:r>
        <w:t xml:space="preserve"> </w:t>
      </w:r>
      <w:r>
        <w:rPr>
          <w:b/>
          <w:bCs/>
        </w:rPr>
        <w:t xml:space="preserve">2.61x adjusted EBITDA</w:t>
      </w:r>
      <w:r>
        <w:t xml:space="preserve">. This makes sustained cash generation and disciplined capital allocation important, particularly alongside the company’s progressive-dividend commitment.</w:t>
      </w:r>
    </w:p>
    <w:p>
      <w:r>
        <w:pict>
          <v:rect style="width:0;height:1.5pt" o:hralign="center" o:hrstd="t" o:hr="t"/>
        </w:pict>
      </w:r>
    </w:p>
    <w:bookmarkEnd w:id="16"/>
    <w:bookmarkStart w:id="17" w:name="X08bf68dad765bce0c1b45368b88e3c265a5f56a"/>
    <w:p>
      <w:pPr>
        <w:pStyle w:val="Heading2"/>
      </w:pPr>
      <w:r>
        <w:t xml:space="preserve">Guidance: reaffirmation is the minimum; a raise would matter</w:t>
      </w:r>
    </w:p>
    <w:p>
      <w:pPr>
        <w:pStyle w:val="FirstParagraph"/>
      </w:pPr>
      <w:r>
        <w:t xml:space="preserve">PMI reaffirmed its full-year outlook in April after a strong first quarter:</w:t>
      </w:r>
    </w:p>
    <w:p>
      <w:pPr>
        <w:pStyle w:val="Compact"/>
        <w:numPr>
          <w:ilvl w:val="0"/>
          <w:numId w:val="1006"/>
        </w:numPr>
      </w:pPr>
      <w:r>
        <w:rPr>
          <w:b/>
          <w:bCs/>
        </w:rPr>
        <w:t xml:space="preserve">5%–7% organic revenue growth</w:t>
      </w:r>
    </w:p>
    <w:p>
      <w:pPr>
        <w:pStyle w:val="Compact"/>
        <w:numPr>
          <w:ilvl w:val="0"/>
          <w:numId w:val="1006"/>
        </w:numPr>
      </w:pPr>
      <w:r>
        <w:rPr>
          <w:b/>
          <w:bCs/>
        </w:rPr>
        <w:t xml:space="preserve">7%–9% organic operating-income growth</w:t>
      </w:r>
    </w:p>
    <w:p>
      <w:pPr>
        <w:pStyle w:val="Compact"/>
        <w:numPr>
          <w:ilvl w:val="0"/>
          <w:numId w:val="1006"/>
        </w:numPr>
      </w:pPr>
      <w:r>
        <w:rPr>
          <w:b/>
          <w:bCs/>
        </w:rPr>
        <w:t xml:space="preserve">7.5%–9.5% currency-neutral adjusted EPS growth</w:t>
      </w:r>
    </w:p>
    <w:p>
      <w:pPr>
        <w:pStyle w:val="Compact"/>
        <w:numPr>
          <w:ilvl w:val="0"/>
          <w:numId w:val="1006"/>
        </w:numPr>
      </w:pPr>
      <m:oMath>
        <m:r>
          <m:t>8.36</m:t>
        </m:r>
        <m:r>
          <m:rPr>
            <m:sty m:val="p"/>
          </m:rPr>
          <m:t>–</m:t>
        </m:r>
      </m:oMath>
      <w:r>
        <w:rPr>
          <w:b/>
          <w:bCs/>
        </w:rPr>
        <w:t xml:space="preserve">8.51 reported adjusted EPS</w:t>
      </w:r>
      <w:r>
        <w:t xml:space="preserve">, including then-assumed FX benefits</w:t>
      </w:r>
    </w:p>
    <w:p>
      <w:pPr>
        <w:pStyle w:val="FirstParagraph"/>
      </w:pPr>
      <w:r>
        <w:t xml:space="preserve">A simple reaffirmation would be understandable given Japan’s 2Q timing effects, ongoing U.S. uncertainty, global macro conditions, excise-tax developments, and potential logistics/input-cost effects from Middle East disruption. However, with the quarter expected to show a sequential improvement and the stock trading near highs, the market may be looking for either:</w:t>
      </w:r>
    </w:p>
    <w:p>
      <w:pPr>
        <w:pStyle w:val="Compact"/>
        <w:numPr>
          <w:ilvl w:val="0"/>
          <w:numId w:val="1007"/>
        </w:numPr>
      </w:pPr>
      <w:r>
        <w:t xml:space="preserve">a raise to reported EPS guidance from FX and/or operations;</w:t>
      </w:r>
    </w:p>
    <w:p>
      <w:pPr>
        <w:pStyle w:val="Compact"/>
        <w:numPr>
          <w:ilvl w:val="0"/>
          <w:numId w:val="1007"/>
        </w:numPr>
      </w:pPr>
      <w:r>
        <w:t xml:space="preserve">stronger confidence in the upper end of organic growth ranges; or</w:t>
      </w:r>
    </w:p>
    <w:p>
      <w:pPr>
        <w:pStyle w:val="Compact"/>
        <w:numPr>
          <w:ilvl w:val="0"/>
          <w:numId w:val="1007"/>
        </w:numPr>
      </w:pPr>
      <w:r>
        <w:t xml:space="preserve">more concrete timing around U.S. ZYN innovation and second-half acceleration.</w:t>
      </w:r>
    </w:p>
    <w:p>
      <w:r>
        <w:pict>
          <v:rect style="width:0;height:1.5pt" o:hralign="center" o:hrstd="t" o:hr="t"/>
        </w:pict>
      </w:r>
    </w:p>
    <w:bookmarkEnd w:id="17"/>
    <w:bookmarkStart w:id="18" w:name="other-item-to-watch-cfo-transition"/>
    <w:p>
      <w:pPr>
        <w:pStyle w:val="Heading2"/>
      </w:pPr>
      <w:r>
        <w:t xml:space="preserve">Other item to watch: CFO transition</w:t>
      </w:r>
    </w:p>
    <w:p>
      <w:pPr>
        <w:pStyle w:val="FirstParagraph"/>
      </w:pPr>
      <w:r>
        <w:t xml:space="preserve">This is likely Emmanuel Babeau’s final earnings call as PMI CFO.</w:t>
      </w:r>
      <w:r>
        <w:t xml:space="preserve"> </w:t>
      </w:r>
      <w:r>
        <w:rPr>
          <w:b/>
          <w:bCs/>
        </w:rPr>
        <w:t xml:space="preserve">Massimo Andolina</w:t>
      </w:r>
      <w:r>
        <w:t xml:space="preserve">, currently President of PMI’s Europe Region, is scheduled to become Group CFO effective</w:t>
      </w:r>
      <w:r>
        <w:t xml:space="preserve"> </w:t>
      </w:r>
      <w:r>
        <w:rPr>
          <w:b/>
          <w:bCs/>
        </w:rPr>
        <w:t xml:space="preserve">August 1, 2026</w:t>
      </w:r>
      <w:r>
        <w:t xml:space="preserve">; Babeau will remain with PMI as a strategic adviser to CEO Jacek Olczak through March 31, 2027.</w:t>
      </w:r>
    </w:p>
    <w:p>
      <w:pPr>
        <w:pStyle w:val="BodyText"/>
      </w:pPr>
      <w:r>
        <w:t xml:space="preserve">The transition should not alter the company’s strategy, but investors may listen for Andolina’s priorities on capital allocation, margins, smoke-free investment, and leverage.</w:t>
      </w:r>
    </w:p>
    <w:p>
      <w:r>
        <w:pict>
          <v:rect style="width:0;height:1.5pt" o:hralign="center" o:hrstd="t" o:hr="t"/>
        </w:pict>
      </w:r>
    </w:p>
    <w:bookmarkEnd w:id="18"/>
    <w:bookmarkStart w:id="22" w:name="earnings-scorecard"/>
    <w:p>
      <w:pPr>
        <w:pStyle w:val="Heading2"/>
      </w:pPr>
      <w:r>
        <w:t xml:space="preserve">Earnings scorecard</w:t>
      </w:r>
    </w:p>
    <w:bookmarkStart w:id="19" w:name="bullish-outcome"/>
    <w:p>
      <w:pPr>
        <w:pStyle w:val="Heading3"/>
      </w:pPr>
      <w:r>
        <w:t xml:space="preserve">Bullish outcome</w:t>
      </w:r>
    </w:p>
    <w:p>
      <w:pPr>
        <w:pStyle w:val="Compact"/>
        <w:numPr>
          <w:ilvl w:val="0"/>
          <w:numId w:val="1008"/>
        </w:numPr>
      </w:pPr>
      <w:r>
        <w:t xml:space="preserve">EPS above $2.07, with an operational beat rather than only FX.</w:t>
      </w:r>
    </w:p>
    <w:p>
      <w:pPr>
        <w:pStyle w:val="Compact"/>
        <w:numPr>
          <w:ilvl w:val="0"/>
          <w:numId w:val="1008"/>
        </w:numPr>
      </w:pPr>
      <w:r>
        <w:t xml:space="preserve">HTU shipments at or above the high end of the 40–42 billion-unit range.</w:t>
      </w:r>
    </w:p>
    <w:p>
      <w:pPr>
        <w:pStyle w:val="Compact"/>
        <w:numPr>
          <w:ilvl w:val="0"/>
          <w:numId w:val="1008"/>
        </w:numPr>
      </w:pPr>
      <w:r>
        <w:t xml:space="preserve">IQOS growth remains robust outside Japan; Japan’s expected slowdown is framed as temporary and pricing-related.</w:t>
      </w:r>
    </w:p>
    <w:p>
      <w:pPr>
        <w:pStyle w:val="Compact"/>
        <w:numPr>
          <w:ilvl w:val="0"/>
          <w:numId w:val="1008"/>
        </w:numPr>
      </w:pPr>
      <w:r>
        <w:t xml:space="preserve">ZYN offtake holds near or above 10%, shipments normalize, and innovation timing becomes more tangible.</w:t>
      </w:r>
    </w:p>
    <w:p>
      <w:pPr>
        <w:pStyle w:val="Compact"/>
        <w:numPr>
          <w:ilvl w:val="0"/>
          <w:numId w:val="1008"/>
        </w:numPr>
      </w:pPr>
      <w:r>
        <w:t xml:space="preserve">Full-year guidance is raised or management signals confidence in the upper end of ranges.</w:t>
      </w:r>
    </w:p>
    <w:bookmarkEnd w:id="19"/>
    <w:bookmarkStart w:id="20" w:name="base-case-outcome"/>
    <w:p>
      <w:pPr>
        <w:pStyle w:val="Heading3"/>
      </w:pPr>
      <w:r>
        <w:t xml:space="preserve">Base-case outcome</w:t>
      </w:r>
    </w:p>
    <w:p>
      <w:pPr>
        <w:pStyle w:val="Compact"/>
        <w:numPr>
          <w:ilvl w:val="0"/>
          <w:numId w:val="1009"/>
        </w:numPr>
      </w:pPr>
      <w:r>
        <w:t xml:space="preserve">EPS around</w:t>
      </w:r>
      <w:r>
        <w:t xml:space="preserve"> </w:t>
      </w:r>
      <m:oMath>
        <m:r>
          <m:t>2.05</m:t>
        </m:r>
        <m:r>
          <m:rPr>
            <m:sty m:val="p"/>
          </m:rPr>
          <m:t>–</m:t>
        </m:r>
      </m:oMath>
      <w:r>
        <w:t xml:space="preserve">2.07.</w:t>
      </w:r>
    </w:p>
    <w:p>
      <w:pPr>
        <w:pStyle w:val="Compact"/>
        <w:numPr>
          <w:ilvl w:val="0"/>
          <w:numId w:val="1009"/>
        </w:numPr>
      </w:pPr>
      <w:r>
        <w:t xml:space="preserve">Mid-single-digit organic growth, strong international smoke-free delivery, and expected Japan-related moderation.</w:t>
      </w:r>
    </w:p>
    <w:p>
      <w:pPr>
        <w:pStyle w:val="Compact"/>
        <w:numPr>
          <w:ilvl w:val="0"/>
          <w:numId w:val="1009"/>
        </w:numPr>
      </w:pPr>
      <w:r>
        <w:t xml:space="preserve">U.S. trends remain mixed but management reiterates an improving second half.</w:t>
      </w:r>
    </w:p>
    <w:p>
      <w:pPr>
        <w:pStyle w:val="Compact"/>
        <w:numPr>
          <w:ilvl w:val="0"/>
          <w:numId w:val="1009"/>
        </w:numPr>
      </w:pPr>
      <w:r>
        <w:t xml:space="preserve">Full-year guidance is reaffirmed.</w:t>
      </w:r>
    </w:p>
    <w:bookmarkEnd w:id="20"/>
    <w:bookmarkStart w:id="21" w:name="bearish-outcome"/>
    <w:p>
      <w:pPr>
        <w:pStyle w:val="Heading3"/>
      </w:pPr>
      <w:r>
        <w:t xml:space="preserve">Bearish outcome</w:t>
      </w:r>
    </w:p>
    <w:p>
      <w:pPr>
        <w:pStyle w:val="Compact"/>
        <w:numPr>
          <w:ilvl w:val="0"/>
          <w:numId w:val="1010"/>
        </w:numPr>
      </w:pPr>
      <w:r>
        <w:t xml:space="preserve">EPS misses the guided range or is achieved only through FX/tax benefits.</w:t>
      </w:r>
    </w:p>
    <w:p>
      <w:pPr>
        <w:pStyle w:val="Compact"/>
        <w:numPr>
          <w:ilvl w:val="0"/>
          <w:numId w:val="1010"/>
        </w:numPr>
      </w:pPr>
      <w:r>
        <w:t xml:space="preserve">HTUs or international smoke-free decelerate materially beyond expected Japan timing effects.</w:t>
      </w:r>
    </w:p>
    <w:p>
      <w:pPr>
        <w:pStyle w:val="Compact"/>
        <w:numPr>
          <w:ilvl w:val="0"/>
          <w:numId w:val="1010"/>
        </w:numPr>
      </w:pPr>
      <w:r>
        <w:t xml:space="preserve">ZYN offtake slows further, shipment normalization fails to occur, or innovation timing is pushed out.</w:t>
      </w:r>
    </w:p>
    <w:p>
      <w:pPr>
        <w:pStyle w:val="Compact"/>
        <w:numPr>
          <w:ilvl w:val="0"/>
          <w:numId w:val="1010"/>
        </w:numPr>
      </w:pPr>
      <w:r>
        <w:t xml:space="preserve">Combustible volume pressure worsens and pricing no longer adequately offsets it.</w:t>
      </w:r>
    </w:p>
    <w:p>
      <w:pPr>
        <w:pStyle w:val="Compact"/>
        <w:numPr>
          <w:ilvl w:val="0"/>
          <w:numId w:val="1010"/>
        </w:numPr>
      </w:pPr>
      <w:r>
        <w:t xml:space="preserve">PMI trims the full-year outlook or lowers confidence in the second-half recovery.</w:t>
      </w:r>
    </w:p>
    <w:p>
      <w:r>
        <w:pict>
          <v:rect style="width:0;height:1.5pt" o:hralign="center" o:hrstd="t" o:hr="t"/>
        </w:pict>
      </w:r>
    </w:p>
    <w:bookmarkEnd w:id="21"/>
    <w:bookmarkEnd w:id="22"/>
    <w:bookmarkStart w:id="23" w:name="key-questions-for-the-call"/>
    <w:p>
      <w:pPr>
        <w:pStyle w:val="Heading2"/>
      </w:pPr>
      <w:r>
        <w:t xml:space="preserve">Key questions for the call</w:t>
      </w:r>
    </w:p>
    <w:p>
      <w:pPr>
        <w:pStyle w:val="Compact"/>
        <w:numPr>
          <w:ilvl w:val="0"/>
          <w:numId w:val="1011"/>
        </w:numPr>
      </w:pPr>
      <w:r>
        <w:t xml:space="preserve">What was</w:t>
      </w:r>
      <w:r>
        <w:t xml:space="preserve"> </w:t>
      </w:r>
      <w:r>
        <w:rPr>
          <w:b/>
          <w:bCs/>
        </w:rPr>
        <w:t xml:space="preserve">ZYN U.S. offtake growth</w:t>
      </w:r>
      <w:r>
        <w:t xml:space="preserve"> </w:t>
      </w:r>
      <w:r>
        <w:t xml:space="preserve">exiting 2Q, and how did shipments compare with the expected underlying 180 million-can 2Q base?</w:t>
      </w:r>
    </w:p>
    <w:p>
      <w:pPr>
        <w:pStyle w:val="Compact"/>
        <w:numPr>
          <w:ilvl w:val="0"/>
          <w:numId w:val="1011"/>
        </w:numPr>
      </w:pPr>
      <w:r>
        <w:t xml:space="preserve">What is the latest timing and confidence level around</w:t>
      </w:r>
      <w:r>
        <w:t xml:space="preserve"> </w:t>
      </w:r>
      <w:r>
        <w:rPr>
          <w:b/>
          <w:bCs/>
        </w:rPr>
        <w:t xml:space="preserve">ZYN Ultra</w:t>
      </w:r>
      <w:r>
        <w:t xml:space="preserve"> </w:t>
      </w:r>
      <w:r>
        <w:t xml:space="preserve">and other U.S. innovation?</w:t>
      </w:r>
    </w:p>
    <w:p>
      <w:pPr>
        <w:pStyle w:val="Compact"/>
        <w:numPr>
          <w:ilvl w:val="0"/>
          <w:numId w:val="1011"/>
        </w:numPr>
      </w:pPr>
      <w:r>
        <w:t xml:space="preserve">How much did Japanese IQOS volumes and revenue reflect reversal of 1Q pantry loading versus underlying consumer elasticity after April pricing?</w:t>
      </w:r>
    </w:p>
    <w:p>
      <w:pPr>
        <w:pStyle w:val="Compact"/>
        <w:numPr>
          <w:ilvl w:val="0"/>
          <w:numId w:val="1011"/>
        </w:numPr>
      </w:pPr>
      <w:r>
        <w:t xml:space="preserve">Did IQOS maintain broad-based momentum in Europe, especially in markets affected by flavor bans?</w:t>
      </w:r>
    </w:p>
    <w:p>
      <w:pPr>
        <w:pStyle w:val="Compact"/>
        <w:numPr>
          <w:ilvl w:val="0"/>
          <w:numId w:val="1011"/>
        </w:numPr>
      </w:pPr>
      <w:r>
        <w:t xml:space="preserve">Is PM still on track for</w:t>
      </w:r>
      <w:r>
        <w:t xml:space="preserve"> </w:t>
      </w:r>
      <w:r>
        <w:rPr>
          <w:b/>
          <w:bCs/>
        </w:rPr>
        <w:t xml:space="preserve">high-single-digit global smoke-free volume growth</w:t>
      </w:r>
      <w:r>
        <w:t xml:space="preserve"> </w:t>
      </w:r>
      <w:r>
        <w:t xml:space="preserve">in 2026?</w:t>
      </w:r>
    </w:p>
    <w:p>
      <w:pPr>
        <w:pStyle w:val="Compact"/>
        <w:numPr>
          <w:ilvl w:val="0"/>
          <w:numId w:val="1011"/>
        </w:numPr>
      </w:pPr>
      <w:r>
        <w:t xml:space="preserve">Is combustible pricing still tracking above 6% for the year, and what is management seeing in illicit trade and consumer downtrading?</w:t>
      </w:r>
    </w:p>
    <w:p>
      <w:pPr>
        <w:pStyle w:val="Compact"/>
        <w:numPr>
          <w:ilvl w:val="0"/>
          <w:numId w:val="1011"/>
        </w:numPr>
      </w:pPr>
      <w:r>
        <w:t xml:space="preserve">Has the expected second-half reduction in investment intensity begun to take shape?</w:t>
      </w:r>
    </w:p>
    <w:p>
      <w:pPr>
        <w:pStyle w:val="Compact"/>
        <w:numPr>
          <w:ilvl w:val="0"/>
          <w:numId w:val="1011"/>
        </w:numPr>
      </w:pPr>
      <w:r>
        <w:t xml:space="preserve">Does the CFO transition change any aspect of capital allocation, leverage targets, or dividend priorities?</w:t>
      </w:r>
    </w:p>
    <w:p>
      <w:r>
        <w:pict>
          <v:rect style="width:0;height:1.5pt" o:hralign="center" o:hrstd="t" o:hr="t"/>
        </w:pict>
      </w:r>
    </w:p>
    <w:bookmarkEnd w:id="23"/>
    <w:bookmarkStart w:id="24" w:name="investment-view-into-the-print"/>
    <w:p>
      <w:pPr>
        <w:pStyle w:val="Heading2"/>
      </w:pPr>
      <w:r>
        <w:t xml:space="preserve">Investment view into the print</w:t>
      </w:r>
    </w:p>
    <w:p>
      <w:pPr>
        <w:pStyle w:val="FirstParagraph"/>
      </w:pPr>
      <w:r>
        <w:t xml:space="preserve">PMI’s operational model remains attractive: smoke-free products are becoming a larger, higher-margin portion of the business while the combustible franchise continues to monetize through pricing. The crucial near-term issue is whether the company can turn its U.S. narrative from</w:t>
      </w:r>
      <w:r>
        <w:t xml:space="preserve"> </w:t>
      </w:r>
      <w:r>
        <w:rPr>
          <w:b/>
          <w:bCs/>
        </w:rPr>
        <w:t xml:space="preserve">“inventory and comparison headwinds”</w:t>
      </w:r>
      <w:r>
        <w:t xml:space="preserve"> </w:t>
      </w:r>
      <w:r>
        <w:t xml:space="preserve">into demonstrable renewed growth.</w:t>
      </w:r>
    </w:p>
    <w:p>
      <w:pPr>
        <w:pStyle w:val="BodyText"/>
      </w:pPr>
      <w:r>
        <w:t xml:space="preserve">International IQOS execution should provide a solid floor for the quarter. But with consensus EPS near the top of guidance and the stock close to recent highs, the most important variables for the share reaction are likely to be</w:t>
      </w:r>
      <w:r>
        <w:t xml:space="preserve"> </w:t>
      </w:r>
      <w:r>
        <w:rPr>
          <w:b/>
          <w:bCs/>
        </w:rPr>
        <w:t xml:space="preserve">ZYN’s current trajectory, U.S. innovation visibility, and the credibility of second-half acceleration</w:t>
      </w:r>
      <w:r>
        <w:t xml:space="preserve">—not simply the reported EPS result.</w:t>
      </w:r>
    </w:p>
    <w:p>
      <w:pPr>
        <w:pStyle w:val="BodyText"/>
      </w:pPr>
      <w:r>
        <w:rPr>
          <w:i/>
          <w:iCs/>
        </w:rPr>
        <w:t xml:space="preserve">Sources reviewed: PMI 1Q26 earnings call and financial supplement; PMI 1Q26 Form 10-Q; July 2026 CFO-transition Form 8-K; recent PM market-news and price data.</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2026-07-22T00:22:43Z</dcterms:created>
  <dcterms:modified xsi:type="dcterms:W3CDTF">2026-07-22T00:22:43Z</dcterms:modified>
</cp:coreProperties>
</file>

<file path=docProps/custom.xml><?xml version="1.0" encoding="utf-8"?>
<Properties xmlns="http://schemas.openxmlformats.org/officeDocument/2006/custom-properties" xmlns:vt="http://schemas.openxmlformats.org/officeDocument/2006/docPropsVTypes"/>
</file>