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jf-earnings-predictions--2026-07-22"/>
    <w:p>
      <w:pPr>
        <w:pStyle w:val="Heading1"/>
      </w:pPr>
      <w:r>
        <w:t xml:space="preserve">RJF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~$2.99 vs. cons $2.91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3.91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client assets under administration (qtr-end June, record)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1.95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1.90T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FQ4'26 asset-management fee base (PCG fee-based accounts as FQ4 billing base)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1.19</m:t>
              </m:r>
              <m:r>
                <m:t>T</m:t>
              </m:r>
              <m:r>
                <m:t>J</m:t>
              </m:r>
              <m:r>
                <m:t>u</m:t>
              </m:r>
              <m:r>
                <m:t>n</m:t>
              </m:r>
              <m:r>
                <m:t>e</m:t>
              </m:r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1.16T (FQ4'26; implies AM fees up ~3-4% seq vs. ~+2%)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NII + third-party RJBDP fees (cash/spread)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~flat-to-+1% seq vs. cons ~+1% (FQ4'26); Fed-cut path is the swing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Firmwide comp ratio / PCG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~65-66% comp ratio vs. cons ~65% (FQ4'26)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pace / capital return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400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300M (FQ4'26; ~$2.1B excess capacity)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Clean beat on record AUA + non-repeat of the</w:t>
            </w:r>
            <w:r>
              <w:t xml:space="preserve"> </w:t>
            </w:r>
            <m:oMath>
              <m:r>
                <m:t>58</m:t>
              </m:r>
              <m:r>
                <m:t>M</m:t>
              </m:r>
              <m:r>
                <m:t>l</m:t>
              </m:r>
              <m:r>
                <m:t>e</m:t>
              </m:r>
              <m:r>
                <m:t>g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s</m:t>
              </m:r>
              <m:r>
                <m:t>e</m:t>
              </m:r>
              <m:r>
                <m:t>r</m:t>
              </m:r>
              <m:r>
                <m:t>v</m:t>
              </m:r>
              <m:r>
                <m:t>e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t>w</m:t>
              </m:r>
              <m:r>
                <m:t>e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n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1.16T June fee-based base sets up a stronger FQ4, biasing out-period revisions modestly UP rather than down — supportive of estimates. But RJF rallied ~+12% into the print (from ~</w:t>
            </w:r>
            <m:oMath>
              <m:r>
                <m:t>150</m:t>
              </m:r>
              <m:r>
                <m:t>l</m:t>
              </m:r>
              <m:r>
                <m:t>a</m:t>
              </m:r>
              <m:r>
                <m:t>t</m:t>
              </m:r>
              <m:r>
                <m:t>e</m:t>
              </m:r>
              <m:r>
                <m:t>J</m:t>
              </m:r>
              <m:r>
                <m:t>u</m:t>
              </m:r>
              <m:r>
                <m:t>n</m:t>
              </m:r>
              <m:r>
                <m:t>e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168), so much of the good news is priced; NII/rate-cut sensitivity and elevated comp/PCG-margin caps follow-through. Net: positive revisions offset by rich setup → stabilize around a small positive residual.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2026-07-22T00:41:53Z</dcterms:created>
  <dcterms:modified xsi:type="dcterms:W3CDTF">2026-07-22T00:41:53Z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