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9" w:name="Xf1f8c4c7999761a2db3a983039165ea3b872c54"/>
    <w:p>
      <w:pPr>
        <w:pStyle w:val="Heading1"/>
      </w:pPr>
      <w:r>
        <w:t xml:space="preserve">Raymond James Financial (RJF) — Fiscal Q3 2026 Earnings Preview</w:t>
      </w:r>
    </w:p>
    <w:p>
      <w:pPr>
        <w:pStyle w:val="FirstParagraph"/>
      </w:pPr>
      <w:r>
        <w:rPr>
          <w:b/>
          <w:bCs/>
        </w:rPr>
        <w:t xml:space="preserve">Reports:</w:t>
      </w:r>
      <w:r>
        <w:t xml:space="preserve"> </w:t>
      </w:r>
      <w:r>
        <w:t xml:space="preserve">After the close on Wednesday, July 22, 2026 · Conference call 5:00 p.m. ET</w:t>
      </w:r>
      <w:r>
        <w:t xml:space="preserve"> </w:t>
      </w:r>
      <w:r>
        <w:rPr>
          <w:b/>
          <w:bCs/>
        </w:rPr>
        <w:t xml:space="preserve">Fiscal period:</w:t>
      </w:r>
      <w:r>
        <w:t xml:space="preserve"> </w:t>
      </w:r>
      <w:r>
        <w:t xml:space="preserve">Fiscal third quarter ended June 30, 2026 (RJF's fiscal year ends September 30)</w:t>
      </w:r>
      <w:r>
        <w:t xml:space="preserve"> </w:t>
      </w:r>
      <w:r>
        <w:rPr>
          <w:b/>
          <w:bCs/>
        </w:rPr>
        <w:t xml:space="preserve">Stock:</w:t>
      </w:r>
      <w:r>
        <w:t xml:space="preserve"> </w:t>
      </w:r>
      <w:r>
        <w:t xml:space="preserve">~$168 (July 21 close), roughly +3% YTD after a round trip from a February high near $174 to a March low near $140</w:t>
      </w:r>
    </w:p>
    <w:p>
      <w:r>
        <w:pict>
          <v:rect style="width:0;height:1.5pt" o:hralign="center" o:hrstd="t" o:hr="t"/>
        </w:pict>
      </w:r>
    </w:p>
    <w:bookmarkStart w:id="9" w:name="the-one-line-setup"/>
    <w:p>
      <w:pPr>
        <w:pStyle w:val="Heading2"/>
      </w:pPr>
      <w:r>
        <w:t xml:space="preserve">The one-line setup</w:t>
      </w:r>
    </w:p>
    <w:p>
      <w:pPr>
        <w:pStyle w:val="FirstParagraph"/>
      </w:pPr>
      <w:r>
        <w:t xml:space="preserve">RJF heads into this print with the wind at its back on the two things that drive the story —</w:t>
      </w:r>
      <w:r>
        <w:t xml:space="preserve"> </w:t>
      </w:r>
      <w:r>
        <w:rPr>
          <w:b/>
          <w:bCs/>
        </w:rPr>
        <w:t xml:space="preserve">client assets at a fresh record and a benign credit/expense backdrop</w:t>
      </w:r>
      <w:r>
        <w:t xml:space="preserve"> </w:t>
      </w:r>
      <w:r>
        <w:t xml:space="preserve">— but with the usual crosscurrents around</w:t>
      </w:r>
      <w:r>
        <w:t xml:space="preserve"> </w:t>
      </w:r>
      <w:r>
        <w:rPr>
          <w:b/>
          <w:bCs/>
        </w:rPr>
        <w:t xml:space="preserve">cash sweep balances, spread compression from Fed cuts, and the timing of investment banking closings.</w:t>
      </w:r>
      <w:r>
        <w:t xml:space="preserve"> </w:t>
      </w:r>
      <w:r>
        <w:t xml:space="preserve">This quarter also laps an unusually weak year-ago comp (a $58M legal reserve depressed FQ3'25), so year-over-year growth should look outsized.</w:t>
      </w:r>
    </w:p>
    <w:bookmarkEnd w:id="9"/>
    <w:bookmarkStart w:id="10" w:name="consensus-and-the-bar"/>
    <w:p>
      <w:pPr>
        <w:pStyle w:val="Heading2"/>
      </w:pPr>
      <w:r>
        <w:t xml:space="preserve">Consensus and the bar</w:t>
      </w:r>
    </w:p>
    <w:p>
      <w:pPr>
        <w:pStyle w:val="Compact"/>
        <w:numPr>
          <w:ilvl w:val="0"/>
          <w:numId w:val="1001"/>
        </w:numPr>
      </w:pPr>
      <w:r>
        <w:t xml:space="preserve">Street EPS is around</w:t>
      </w:r>
      <w:r>
        <w:t xml:space="preserve"> </w:t>
      </w:r>
      <m:oMath>
        <m:r>
          <m:t>2.91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u</m:t>
        </m:r>
        <m:r>
          <m:t>p</m:t>
        </m:r>
        <m:r>
          <m:t> 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33</m:t>
        </m:r>
      </m:oMath>
      <w:r>
        <w:rPr>
          <w:b/>
          <w:bCs/>
        </w:rPr>
        <w:t xml:space="preserve">2.18 adjusted</w:t>
      </w:r>
      <w:r>
        <w:t xml:space="preserve"> </w:t>
      </w:r>
      <w:r>
        <w:t xml:space="preserve">(</w:t>
      </w:r>
      <m:oMath>
        <m:r>
          <m:t>2.12</m:t>
        </m:r>
        <m:r>
          <m:t>G</m:t>
        </m:r>
        <m:r>
          <m:t>A</m:t>
        </m:r>
        <m:r>
          <m:t>A</m:t>
        </m:r>
        <m:r>
          <m:t>P</m:t>
        </m:r>
        <m:r>
          <m:rPr>
            <m:sty m:val="p"/>
          </m:rPr>
          <m:t>)</m:t>
        </m:r>
        <m:r>
          <m:rPr>
            <m:sty m:val="p"/>
          </m:rPr>
          <m:t>.</m:t>
        </m:r>
        <m:r>
          <m:t>R</m:t>
        </m:r>
        <m:r>
          <m:t>e</m:t>
        </m:r>
        <m:r>
          <m:t>v</m:t>
        </m:r>
        <m:r>
          <m:t>e</m:t>
        </m:r>
        <m:r>
          <m:t>n</m:t>
        </m:r>
        <m:r>
          <m:t>u</m:t>
        </m:r>
        <m:r>
          <m:t>e</m:t>
        </m:r>
        <m:r>
          <m:t>c</m:t>
        </m:r>
        <m:r>
          <m:t>o</m:t>
        </m:r>
        <m:r>
          <m:t>n</m:t>
        </m:r>
        <m:r>
          <m:t>s</m:t>
        </m:r>
        <m:r>
          <m:t>e</m:t>
        </m:r>
        <m:r>
          <m:t>n</m:t>
        </m:r>
        <m:r>
          <m:t>s</m:t>
        </m:r>
        <m:r>
          <m:t>u</m:t>
        </m:r>
        <m:r>
          <m:t>s</m:t>
        </m:r>
        <m:r>
          <m:t>i</m:t>
        </m:r>
        <m:r>
          <m:t>s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3.86–3.91B**, up ~14% YoY.</w:t>
      </w:r>
    </w:p>
    <w:p>
      <w:pPr>
        <w:pStyle w:val="Compact"/>
        <w:numPr>
          <w:ilvl w:val="0"/>
          <w:numId w:val="1001"/>
        </w:numPr>
      </w:pPr>
      <w:r>
        <w:t xml:space="preserve">Context on the comp: FQ3'25 net income was hit by a</w:t>
      </w:r>
      <w:r>
        <w:t xml:space="preserve"> </w:t>
      </w:r>
      <m:oMath>
        <m:r>
          <m:t>58</m:t>
        </m:r>
        <m:r>
          <m:t>M</m:t>
        </m:r>
        <m:r>
          <m:t>p</m:t>
        </m:r>
        <m:r>
          <m:t>r</m:t>
        </m:r>
        <m:r>
          <m:t>e</m:t>
        </m:r>
        <m:r>
          <m:rPr>
            <m:sty m:val="p"/>
          </m:rPr>
          <m:t>−</m:t>
        </m:r>
        <m:r>
          <m:t>t</m:t>
        </m:r>
        <m:r>
          <m:t>a</m:t>
        </m:r>
        <m:r>
          <m:t>x</m:t>
        </m:r>
        <m:r>
          <m:t>l</m:t>
        </m:r>
        <m:r>
          <m:t>e</m:t>
        </m:r>
        <m:r>
          <m:t>g</m:t>
        </m:r>
        <m:r>
          <m:t>a</m:t>
        </m:r>
        <m:r>
          <m:t>l</m:t>
        </m:r>
        <m:r>
          <m:t>r</m:t>
        </m:r>
        <m:r>
          <m:t>e</m:t>
        </m:r>
        <m:r>
          <m:t>s</m:t>
        </m:r>
        <m:r>
          <m:t>e</m:t>
        </m:r>
        <m:r>
          <m:t>r</m:t>
        </m:r>
        <m:r>
          <m:t>v</m:t>
        </m:r>
        <m:r>
          <m:t>e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(</m:t>
        </m:r>
        <m:r>
          <m:t>b</m:t>
        </m:r>
        <m:r>
          <m:t>o</m:t>
        </m:r>
        <m:r>
          <m:t>n</m:t>
        </m:r>
        <m:r>
          <m:t>d</m:t>
        </m:r>
        <m:r>
          <m:rPr>
            <m:sty m:val="p"/>
          </m:rPr>
          <m:t>−</m:t>
        </m:r>
        <m:r>
          <m:t>u</m:t>
        </m:r>
        <m:r>
          <m:t>n</m:t>
        </m:r>
        <m:r>
          <m:t>d</m:t>
        </m:r>
        <m:r>
          <m:t>e</m:t>
        </m:r>
        <m:r>
          <m:t>r</m:t>
        </m:r>
        <m:r>
          <m:t>w</m:t>
        </m:r>
        <m:r>
          <m:t>r</m:t>
        </m:r>
        <m:r>
          <m:t>i</m:t>
        </m:r>
        <m:r>
          <m:t>t</m:t>
        </m:r>
        <m:r>
          <m:t>i</m:t>
        </m:r>
        <m:r>
          <m:t>n</m:t>
        </m:r>
        <m:r>
          <m:t>g</m:t>
        </m:r>
        <m:r>
          <m:t>s</m:t>
        </m:r>
        <m:r>
          <m:t>e</m:t>
        </m:r>
        <m:r>
          <m:t>t</m:t>
        </m:r>
        <m:r>
          <m:t>t</m:t>
        </m:r>
        <m:r>
          <m:t>l</m:t>
        </m:r>
        <m:r>
          <m:t>e</m:t>
        </m:r>
        <m:r>
          <m:t>m</m:t>
        </m:r>
        <m:r>
          <m:t>e</m:t>
        </m:r>
        <m:r>
          <m:t>n</m:t>
        </m:r>
        <m:r>
          <m:t>t</m:t>
        </m:r>
        <m:r>
          <m:rPr>
            <m:sty m:val="p"/>
          </m:rPr>
          <m:t>)</m:t>
        </m:r>
        <m:r>
          <m:t>b</m:t>
        </m:r>
        <m:r>
          <m:t>o</m:t>
        </m:r>
        <m:r>
          <m:t>o</m:t>
        </m:r>
        <m:r>
          <m:t>k</m:t>
        </m:r>
        <m:r>
          <m:t>e</m:t>
        </m:r>
        <m:r>
          <m:t>d</m:t>
        </m:r>
        <m:r>
          <m:t>i</m:t>
        </m:r>
        <m:r>
          <m:t>n</m:t>
        </m:r>
        <m:r>
          <m:t>C</m:t>
        </m:r>
        <m:r>
          <m:t>a</m:t>
        </m:r>
        <m:r>
          <m:t>p</m:t>
        </m:r>
        <m:r>
          <m:t>i</m:t>
        </m:r>
        <m:r>
          <m:t>t</m:t>
        </m:r>
        <m:r>
          <m:t>a</m:t>
        </m:r>
        <m:r>
          <m:t>l</m:t>
        </m:r>
        <m:r>
          <m:t>M</m:t>
        </m:r>
        <m:r>
          <m:t>a</m:t>
        </m:r>
        <m:r>
          <m:t>r</m:t>
        </m:r>
        <m:r>
          <m:t>k</m:t>
        </m:r>
        <m:r>
          <m:t>e</m:t>
        </m:r>
        <m:r>
          <m:t>t</m:t>
        </m:r>
        <m:r>
          <m:t>s</m:t>
        </m:r>
        <m:r>
          <m:rPr>
            <m:sty m:val="p"/>
          </m:rPr>
          <m:t>—</m:t>
        </m:r>
        <m:r>
          <m:t>w</m:t>
        </m:r>
        <m:r>
          <m:t>o</m:t>
        </m:r>
        <m:r>
          <m:t>r</m:t>
        </m:r>
        <m:r>
          <m:t>t</m:t>
        </m:r>
        <m:r>
          <m:t>h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0.21/share</w:t>
      </w:r>
      <w:r>
        <w:t xml:space="preserve"> </w:t>
      </w:r>
      <w:r>
        <w:t xml:space="preserve">after tax. Excluding that, the "clean" year-ago base was closer to ~$2.39, so underlying growth implied by consensus is more like low-20s%.</w:t>
      </w:r>
    </w:p>
    <w:p>
      <w:pPr>
        <w:pStyle w:val="Compact"/>
        <w:numPr>
          <w:ilvl w:val="0"/>
          <w:numId w:val="1001"/>
        </w:numPr>
      </w:pPr>
      <w:r>
        <w:t xml:space="preserve">Recent scorecard: RJF beat in FQ2'26 ($2.83 adj. vs.</w:t>
      </w:r>
      <w:r>
        <w:t xml:space="preserve"> </w:t>
      </w:r>
      <m:oMath>
        <m:r>
          <m:t>2.76</m:t>
        </m:r>
        <m:r>
          <m:rPr>
            <m:sty m:val="p"/>
          </m:rPr>
          <m:t>)</m:t>
        </m:r>
        <m:r>
          <m:rPr>
            <m:sty m:val="p"/>
          </m:rPr>
          <m:t>,</m:t>
        </m:r>
        <m:r>
          <m:t>a</m:t>
        </m:r>
        <m:r>
          <m:t>n</m:t>
        </m:r>
        <m:r>
          <m:t>d</m:t>
        </m:r>
        <m:r>
          <m:t>h</m:t>
        </m:r>
        <m:r>
          <m:t>a</m:t>
        </m:r>
        <m:r>
          <m:t>s</m:t>
        </m:r>
        <m:r>
          <m:t>g</m:t>
        </m:r>
        <m:r>
          <m:t>e</m:t>
        </m:r>
        <m:r>
          <m:t>n</m:t>
        </m:r>
        <m:r>
          <m:t>e</m:t>
        </m:r>
        <m:r>
          <m:t>r</m:t>
        </m:r>
        <m:r>
          <m:t>a</m:t>
        </m:r>
        <m:r>
          <m:t>l</m:t>
        </m:r>
        <m:r>
          <m:t>l</m:t>
        </m:r>
        <m:r>
          <m:t>y</m:t>
        </m:r>
        <m:r>
          <m:t>c</m:t>
        </m:r>
        <m:r>
          <m:t>l</m:t>
        </m:r>
        <m:r>
          <m:t>e</m:t>
        </m:r>
        <m:r>
          <m:t>a</m:t>
        </m:r>
        <m:r>
          <m:t>r</m:t>
        </m:r>
        <m:r>
          <m:t>e</m:t>
        </m:r>
        <m:r>
          <m:t>d</m:t>
        </m:r>
        <m:r>
          <m:t>t</m:t>
        </m:r>
        <m:r>
          <m:t>h</m:t>
        </m:r>
        <m:r>
          <m:t>e</m:t>
        </m:r>
        <m:r>
          <m:t>b</m:t>
        </m:r>
        <m:r>
          <m:t>a</m:t>
        </m:r>
        <m:r>
          <m:t>r</m:t>
        </m:r>
        <m:r>
          <m:rPr>
            <m:sty m:val="p"/>
          </m:rPr>
          <m:t>.</m:t>
        </m:r>
        <m:r>
          <m:t>T</m:t>
        </m:r>
        <m:r>
          <m:t>h</m:t>
        </m:r>
        <m:r>
          <m:t>e</m:t>
        </m:r>
        <m:r>
          <m:t>12</m:t>
        </m:r>
        <m:r>
          <m:rPr>
            <m:sty m:val="p"/>
          </m:rPr>
          <m:t>−</m:t>
        </m:r>
        <m:r>
          <m:t>m</m:t>
        </m:r>
        <m:r>
          <m:t>o</m:t>
        </m:r>
        <m:r>
          <m:t>n</m:t>
        </m:r>
        <m:r>
          <m:t>t</m:t>
        </m:r>
        <m:r>
          <m:t>h</m:t>
        </m:r>
        <m:r>
          <m:t>a</m:t>
        </m:r>
        <m:r>
          <m:t>n</m:t>
        </m:r>
        <m:r>
          <m:t>a</m:t>
        </m:r>
        <m:r>
          <m:t>l</m:t>
        </m:r>
        <m:r>
          <m:t>y</m:t>
        </m:r>
        <m:r>
          <m:t>s</m:t>
        </m:r>
        <m:r>
          <m:t>t</m:t>
        </m:r>
        <m:r>
          <m:t>p</m:t>
        </m:r>
        <m:r>
          <m:t>r</m:t>
        </m:r>
        <m:r>
          <m:t>i</m:t>
        </m:r>
        <m:r>
          <m:t>c</m:t>
        </m:r>
        <m:r>
          <m:t>e</m:t>
        </m:r>
        <m:r>
          <m:rPr>
            <m:sty m:val="p"/>
          </m:rPr>
          <m:t>−</m:t>
        </m:r>
        <m:r>
          <m:t>t</m:t>
        </m:r>
        <m:r>
          <m:t>a</m:t>
        </m:r>
        <m:r>
          <m:t>r</m:t>
        </m:r>
        <m:r>
          <m:t>g</m:t>
        </m:r>
        <m:r>
          <m:t>e</m:t>
        </m:r>
        <m:r>
          <m:t>t</m:t>
        </m:r>
        <m:r>
          <m:t>a</m:t>
        </m:r>
        <m:r>
          <m:t>v</m:t>
        </m:r>
        <m:r>
          <m:t>e</m:t>
        </m:r>
        <m:r>
          <m:t>r</m:t>
        </m:r>
        <m:r>
          <m:t>a</m:t>
        </m:r>
        <m:r>
          <m:t>g</m:t>
        </m:r>
        <m:r>
          <m:t>e</m:t>
        </m:r>
        <m:r>
          <m:t>s</m:t>
        </m:r>
        <m:r>
          <m:t>i</m:t>
        </m:r>
        <m:r>
          <m:t>t</m:t>
        </m:r>
        <m:r>
          <m:t>s</m:t>
        </m:r>
        <m:r>
          <m:t>a</m:t>
        </m:r>
        <m:r>
          <m:t>r</m:t>
        </m:r>
        <m:r>
          <m:t>o</m:t>
        </m:r>
        <m:r>
          <m:t>u</m:t>
        </m:r>
        <m:r>
          <m:t>n</m:t>
        </m:r>
        <m:r>
          <m:t>d</m:t>
        </m:r>
        <m:r>
          <m:t> </m:t>
        </m:r>
      </m:oMath>
      <w:r>
        <w:t xml:space="preserve">180.</w:t>
      </w:r>
    </w:p>
    <w:p>
      <w:pPr>
        <w:pStyle w:val="FirstParagraph"/>
      </w:pPr>
      <w:r>
        <w:rPr>
          <w:b/>
          <w:bCs/>
        </w:rPr>
        <w:t xml:space="preserve">Reference points going in: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FQ3'25 (yr ago)</w:t>
            </w:r>
          </w:p>
        </w:tc>
        <w:tc>
          <w:tcPr/>
          <w:p>
            <w:pPr>
              <w:pStyle w:val="Compact"/>
            </w:pPr>
            <w:r>
              <w:t xml:space="preserve">FQ2'26 (last qtr)</w:t>
            </w:r>
          </w:p>
        </w:tc>
        <w:tc>
          <w:tcPr/>
          <w:p>
            <w:pPr>
              <w:pStyle w:val="Compact"/>
            </w:pPr>
            <w:r>
              <w:t xml:space="preserve">Street FQ3'26E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revenue</w:t>
            </w:r>
          </w:p>
        </w:tc>
        <w:tc>
          <w:tcPr/>
          <w:p>
            <w:pPr>
              <w:pStyle w:val="Compact"/>
            </w:pPr>
            <w:r>
              <w:t xml:space="preserve">$3.40B</w:t>
            </w:r>
          </w:p>
        </w:tc>
        <w:tc>
          <w:tcPr/>
          <w:p>
            <w:pPr>
              <w:pStyle w:val="Compact"/>
            </w:pPr>
            <w:r>
              <w:t xml:space="preserve">$3.86B (record)</w:t>
            </w:r>
          </w:p>
        </w:tc>
        <w:tc>
          <w:tcPr/>
          <w:p>
            <w:pPr>
              <w:pStyle w:val="Compact"/>
            </w:pPr>
            <w:r>
              <w:t xml:space="preserve">~$3.86–3.91B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Adj. diluted EPS</w:t>
            </w:r>
          </w:p>
        </w:tc>
        <w:tc>
          <w:tcPr/>
          <w:p>
            <w:pPr>
              <w:pStyle w:val="Compact"/>
            </w:pPr>
            <w:r>
              <w:t xml:space="preserve">$2.18*</w:t>
            </w:r>
          </w:p>
        </w:tc>
        <w:tc>
          <w:tcPr/>
          <w:p>
            <w:pPr>
              <w:pStyle w:val="Compact"/>
            </w:pPr>
            <w:r>
              <w:t xml:space="preserve">$2.83</w:t>
            </w:r>
          </w:p>
        </w:tc>
        <w:tc>
          <w:tcPr/>
          <w:p>
            <w:pPr>
              <w:pStyle w:val="Compact"/>
            </w:pPr>
            <w:r>
              <w:t xml:space="preserve">~$2.91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Pre-tax margin (adj.)</w:t>
            </w:r>
          </w:p>
        </w:tc>
        <w:tc>
          <w:tcPr/>
          <w:p>
            <w:pPr>
              <w:pStyle w:val="Compact"/>
            </w:pPr>
            <w:r>
              <w:t xml:space="preserve">17.1%*</w:t>
            </w:r>
          </w:p>
        </w:tc>
        <w:tc>
          <w:tcPr/>
          <w:p>
            <w:pPr>
              <w:pStyle w:val="Compact"/>
            </w:pPr>
            <w:r>
              <w:t xml:space="preserve">19.7%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Client AUA</w:t>
            </w:r>
          </w:p>
        </w:tc>
        <w:tc>
          <w:tcPr/>
          <w:p>
            <w:pPr>
              <w:pStyle w:val="Compact"/>
            </w:pPr>
            <w:r>
              <w:t xml:space="preserve">$1.64T</w:t>
            </w:r>
          </w:p>
        </w:tc>
        <w:tc>
          <w:tcPr/>
          <w:p>
            <w:pPr>
              <w:pStyle w:val="Compact"/>
            </w:pPr>
            <w:r>
              <w:t xml:space="preserve">$1.76T</w:t>
            </w:r>
          </w:p>
        </w:tc>
        <w:tc>
          <w:tcPr/>
          <w:p>
            <w:pPr>
              <w:pStyle w:val="Compact"/>
            </w:pPr>
            <w:r>
              <w:t xml:space="preserve">(see May data below)</w:t>
            </w:r>
          </w:p>
        </w:tc>
      </w:tr>
      <w:tr>
        <w:tc>
          <w:tcPr/>
          <w:p>
            <w:pPr>
              <w:pStyle w:val="Compact"/>
            </w:pPr>
            <w:r>
              <w:t xml:space="preserve">PCG fee-based assets</w:t>
            </w:r>
          </w:p>
        </w:tc>
        <w:tc>
          <w:tcPr/>
          <w:p>
            <w:pPr>
              <w:pStyle w:val="Compact"/>
            </w:pPr>
            <w:r>
              <w:t xml:space="preserve">$944B</w:t>
            </w:r>
          </w:p>
        </w:tc>
        <w:tc>
          <w:tcPr/>
          <w:p>
            <w:pPr>
              <w:pStyle w:val="Compact"/>
            </w:pPr>
            <w:r>
              <w:t xml:space="preserve">$1.04T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Bank NIM</w:t>
            </w:r>
          </w:p>
        </w:tc>
        <w:tc>
          <w:tcPr/>
          <w:p>
            <w:pPr>
              <w:pStyle w:val="Compact"/>
            </w:pPr>
            <w:r>
              <w:t xml:space="preserve">2.74%</w:t>
            </w:r>
          </w:p>
        </w:tc>
        <w:tc>
          <w:tcPr/>
          <w:p>
            <w:pPr>
              <w:pStyle w:val="Compact"/>
            </w:pPr>
            <w:r>
              <w:t xml:space="preserve">2.81%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</w:tbl>
    <w:p>
      <w:pPr>
        <w:pStyle w:val="BodyText"/>
      </w:pPr>
      <w:r>
        <w:t xml:space="preserve">*FQ3'25 depressed by the $58M legal reserve.</w:t>
      </w:r>
    </w:p>
    <w:bookmarkEnd w:id="10"/>
    <w:bookmarkStart w:id="11" w:name="Xbf2eb51ae0487eb3c1dff26fec8b20bea9c49cb"/>
    <w:p>
      <w:pPr>
        <w:pStyle w:val="Heading2"/>
      </w:pPr>
      <w:r>
        <w:t xml:space="preserve">The biggest tailwind: record client assets</w:t>
      </w:r>
    </w:p>
    <w:p>
      <w:pPr>
        <w:pStyle w:val="FirstParagraph"/>
      </w:pPr>
      <w:r>
        <w:t xml:space="preserve">The May 2026 operating data (the last monthly release before this print) is the single most important tell: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AUA hit a record $1.92T at May 31</w:t>
      </w:r>
      <w:r>
        <w:t xml:space="preserve">, up</w:t>
      </w:r>
      <w:r>
        <w:t xml:space="preserve"> </w:t>
      </w:r>
      <w:r>
        <w:rPr>
          <w:b/>
          <w:bCs/>
        </w:rPr>
        <w:t xml:space="preserve">21% YoY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3% sequentially</w:t>
      </w:r>
      <w:r>
        <w:t xml:space="preserve">, on higher equity markets plus net inflows.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PCG fee-based accounts reached $1.157T</w:t>
      </w:r>
      <w:r>
        <w:t xml:space="preserve">, up</w:t>
      </w:r>
      <w:r>
        <w:t xml:space="preserve"> </w:t>
      </w:r>
      <w:r>
        <w:rPr>
          <w:b/>
          <w:bCs/>
        </w:rPr>
        <w:t xml:space="preserve">27% YoY</w:t>
      </w:r>
      <w:r>
        <w:t xml:space="preserve"> </w:t>
      </w:r>
      <w:r>
        <w:t xml:space="preserve">— a huge jump from the $1.04T that started the fiscal quarter (April 1).</w:t>
      </w:r>
    </w:p>
    <w:p>
      <w:pPr>
        <w:pStyle w:val="FirstParagraph"/>
      </w:pPr>
      <w:r>
        <w:t xml:space="preserve">Why this matters: RJF bills most PCG asset-management fees on</w:t>
      </w:r>
      <w:r>
        <w:t xml:space="preserve"> </w:t>
      </w:r>
      <w:r>
        <w:rPr>
          <w:b/>
          <w:bCs/>
        </w:rPr>
        <w:t xml:space="preserve">beginning-of-quarter balances</w:t>
      </w:r>
      <w:r>
        <w:t xml:space="preserve">, so the</w:t>
      </w:r>
      <w:r>
        <w:t xml:space="preserve"> </w:t>
      </w:r>
      <w:r>
        <w:rPr>
          <w:i/>
          <w:iCs/>
        </w:rPr>
        <w:t xml:space="preserve">current</w:t>
      </w:r>
      <w:r>
        <w:t xml:space="preserve"> </w:t>
      </w:r>
      <w:r>
        <w:t xml:space="preserve">quarter's fee revenue keys off the March 31 base (~</w:t>
      </w:r>
      <m:oMath>
        <m:r>
          <m:t>1.04</m:t>
        </m:r>
        <m:r>
          <m:t>T</m:t>
        </m:r>
        <m:r>
          <m:rPr>
            <m:sty m:val="p"/>
          </m:rPr>
          <m:t>)</m:t>
        </m:r>
        <m:r>
          <m:rPr>
            <m:sty m:val="p"/>
          </m:rPr>
          <m:t>.</m:t>
        </m:r>
        <m:r>
          <m:t>M</m:t>
        </m:r>
        <m:r>
          <m:t>a</m:t>
        </m:r>
        <m:r>
          <m:t>n</m:t>
        </m:r>
        <m:r>
          <m:t>a</m:t>
        </m:r>
        <m:r>
          <m:t>g</m:t>
        </m:r>
        <m:r>
          <m:t>e</m:t>
        </m:r>
        <m:r>
          <m:t>m</m:t>
        </m:r>
        <m:r>
          <m:t>e</m:t>
        </m:r>
        <m:r>
          <m:t>n</m:t>
        </m:r>
        <m:r>
          <m:t>t</m:t>
        </m:r>
        <m:r>
          <m:t>g</m:t>
        </m:r>
        <m:r>
          <m:t>u</m:t>
        </m:r>
        <m:r>
          <m:t>i</m:t>
        </m:r>
        <m:r>
          <m:t>d</m:t>
        </m:r>
        <m:r>
          <m:t>e</m:t>
        </m:r>
        <m:r>
          <m:t>d</m:t>
        </m:r>
        <m:r>
          <m:t>F</m:t>
        </m:r>
        <m:r>
          <m:t>Q</m:t>
        </m:r>
        <m:r>
          <m:t>3</m:t>
        </m:r>
        <m:r>
          <m:t>a</m:t>
        </m:r>
        <m:r>
          <m:t>s</m:t>
        </m:r>
        <m:r>
          <m:t>s</m:t>
        </m:r>
        <m:r>
          <m:t>e</m:t>
        </m:r>
        <m:r>
          <m:t>t</m:t>
        </m:r>
        <m:r>
          <m:rPr>
            <m:sty m:val="p"/>
          </m:rPr>
          <m:t>−</m:t>
        </m:r>
        <m:r>
          <m:t>m</m:t>
        </m:r>
        <m:r>
          <m:t>a</m:t>
        </m:r>
        <m:r>
          <m:t>n</m:t>
        </m:r>
        <m:r>
          <m:t>a</m:t>
        </m:r>
        <m:r>
          <m:t>g</m:t>
        </m:r>
        <m:r>
          <m:t>e</m:t>
        </m:r>
        <m:r>
          <m:t>m</m:t>
        </m:r>
        <m:r>
          <m:t>e</m:t>
        </m:r>
        <m:r>
          <m:t>n</m:t>
        </m:r>
        <m:r>
          <m:t>t</m:t>
        </m:r>
        <m:r>
          <m:t>f</m:t>
        </m:r>
        <m:r>
          <m:t>e</m:t>
        </m:r>
        <m:r>
          <m:t>e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u</m:t>
        </m:r>
        <m:r>
          <m:t>p</m:t>
        </m:r>
        <m:r>
          <m:t> </m:t>
        </m:r>
        <m:r>
          <m:t>1</m:t>
        </m:r>
      </m:oMath>
      <w:r>
        <w:t xml:space="preserve">1.16T May base means the recurring fee engine should step up next quarter regardless of what happens intra-quarter. Watch the June-end fee-based figure they'll report on the call as the FQ4 tailwind indicator.</w:t>
      </w:r>
    </w:p>
    <w:bookmarkEnd w:id="11"/>
    <w:bookmarkStart w:id="12" w:name="X3e084da5f12d43d1ecb66013b9b7303f0d6d7b5"/>
    <w:p>
      <w:pPr>
        <w:pStyle w:val="Heading2"/>
      </w:pPr>
      <w:r>
        <w:t xml:space="preserve">NII and cash sweep — the swing factor for the multiple</w:t>
      </w:r>
    </w:p>
    <w:p>
      <w:pPr>
        <w:pStyle w:val="Compact"/>
        <w:numPr>
          <w:ilvl w:val="0"/>
          <w:numId w:val="1003"/>
        </w:numPr>
      </w:pPr>
      <w:r>
        <w:t xml:space="preserve">Management guided the aggregate of</w:t>
      </w:r>
      <w:r>
        <w:t xml:space="preserve"> </w:t>
      </w:r>
      <w:r>
        <w:rPr>
          <w:b/>
          <w:bCs/>
        </w:rPr>
        <w:t xml:space="preserve">NII + third-party RJBDP fees up ~1% sequentially</w:t>
      </w:r>
      <w:r>
        <w:t xml:space="preserve"> </w:t>
      </w:r>
      <w:r>
        <w:t xml:space="preserve">(largely one more interest-earning day), holding rates and balances flat. Bank NIM has been stable at</w:t>
      </w:r>
      <w:r>
        <w:t xml:space="preserve"> </w:t>
      </w:r>
      <w:r>
        <w:rPr>
          <w:b/>
          <w:bCs/>
        </w:rPr>
        <w:t xml:space="preserve">2.81%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Cash sweep + ESP balances</w:t>
      </w:r>
      <w:r>
        <w:t xml:space="preserve"> </w:t>
      </w:r>
      <w:r>
        <w:t xml:space="preserve">were ~</w:t>
      </w:r>
      <w:r>
        <w:rPr>
          <w:b/>
          <w:bCs/>
        </w:rPr>
        <w:t xml:space="preserve">$55.8B at May 31</w:t>
      </w:r>
      <w:r>
        <w:t xml:space="preserve"> </w:t>
      </w:r>
      <w:r>
        <w:t xml:space="preserve">(sweep $42.2B / ESP $13.6B), up 3% YoY and roughly flat month-over-month — management's thesis that sweep balances have</w:t>
      </w:r>
      <w:r>
        <w:t xml:space="preserve"> </w:t>
      </w:r>
      <w:r>
        <w:rPr>
          <w:b/>
          <w:bCs/>
        </w:rPr>
        <w:t xml:space="preserve">stabilized</w:t>
      </w:r>
      <w:r>
        <w:t xml:space="preserve"> </w:t>
      </w:r>
      <w:r>
        <w:t xml:space="preserve">at ~3.7% of PCG assets.</w:t>
      </w:r>
    </w:p>
    <w:p>
      <w:pPr>
        <w:pStyle w:val="Compact"/>
        <w:numPr>
          <w:ilvl w:val="0"/>
          <w:numId w:val="1003"/>
        </w:numPr>
      </w:pPr>
      <w:r>
        <w:t xml:space="preserve">The debate the market keeps re-pricing:</w:t>
      </w:r>
      <w:r>
        <w:t xml:space="preserve"> </w:t>
      </w:r>
      <w:r>
        <w:rPr>
          <w:b/>
          <w:bCs/>
        </w:rPr>
        <w:t xml:space="preserve">"agentic AI" cash optimization</w:t>
      </w:r>
      <w:r>
        <w:t xml:space="preserve"> </w:t>
      </w:r>
      <w:r>
        <w:t xml:space="preserve">and a lower terminal value on cash-derived profits. CEO Paul Shoukry has pushed back that the shift to higher-yielding alternatives already happened (sweep down 40–50% since rates rose; &lt;$10K average cash per fee-based account) and doesn't require AI. Any incremental commentary here — plus willingness to consider platform/advisory fees — will move sentiment more than the quarter's actual NII.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Rate risk:</w:t>
      </w:r>
      <w:r>
        <w:t xml:space="preserve"> </w:t>
      </w:r>
      <w:r>
        <w:t xml:space="preserve">further Fed cuts pressure the spread businesses (both bank NIM and third-party sweep yield, which slipped to 2.70%). Watch guidance sensitivity.</w:t>
      </w:r>
    </w:p>
    <w:bookmarkEnd w:id="12"/>
    <w:bookmarkStart w:id="13" w:name="X1c30a69d60953f7983b4eca0fdcf1d07322bb2e"/>
    <w:p>
      <w:pPr>
        <w:pStyle w:val="Heading2"/>
      </w:pPr>
      <w:r>
        <w:t xml:space="preserve">Private Client Group — growth strong, margin under scrutiny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Net new assets:</w:t>
      </w:r>
      <w:r>
        <w:t xml:space="preserve"> </w:t>
      </w:r>
      <w:r>
        <w:t xml:space="preserve">5.8% annualized in FQ2, ~7% first-half — an industry-leading pace. Recruiting was the</w:t>
      </w:r>
      <w:r>
        <w:t xml:space="preserve"> </w:t>
      </w:r>
      <w:r>
        <w:rPr>
          <w:b/>
          <w:bCs/>
        </w:rPr>
        <w:t xml:space="preserve">second-highest quarterly result ever</w:t>
      </w:r>
      <w:r>
        <w:t xml:space="preserve"> </w:t>
      </w:r>
      <w:r>
        <w:t xml:space="preserve">in FQ2 (trailing-12-month production of recruits ~</w:t>
      </w:r>
      <m:oMath>
        <m:r>
          <m:t>141</m:t>
        </m:r>
        <m:r>
          <m:t>M</m:t>
        </m:r>
        <m:r>
          <m:rPr>
            <m:sty m:val="p"/>
          </m:rPr>
          <m:t>;</m:t>
        </m:r>
        <m:r>
          <m:t> </m:t>
        </m:r>
      </m:oMath>
      <w:r>
        <w:t xml:space="preserve">21B of prior-firm assets), and management called the pipeline "robust" across all affiliation options, including an uptick in the</w:t>
      </w:r>
      <w:r>
        <w:t xml:space="preserve"> </w:t>
      </w:r>
      <w:r>
        <w:rPr>
          <w:b/>
          <w:bCs/>
        </w:rPr>
        <w:t xml:space="preserve">employee</w:t>
      </w:r>
      <w:r>
        <w:t xml:space="preserve"> </w:t>
      </w:r>
      <w:r>
        <w:t xml:space="preserve">channel.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Margin watch:</w:t>
      </w:r>
      <w:r>
        <w:t xml:space="preserve"> </w:t>
      </w:r>
      <w:r>
        <w:t xml:space="preserve">PCG pre-tax income has been</w:t>
      </w:r>
      <w:r>
        <w:t xml:space="preserve"> </w:t>
      </w:r>
      <w:r>
        <w:rPr>
          <w:i/>
          <w:iCs/>
        </w:rPr>
        <w:t xml:space="preserve">declining YoY</w:t>
      </w:r>
      <w:r>
        <w:t xml:space="preserve"> </w:t>
      </w:r>
      <w:r>
        <w:t xml:space="preserve">(–3% in FQ2) despite record revenue, squeezed by (1) lower short-term rates compressing the spread on cash, (2) rising</w:t>
      </w:r>
      <w:r>
        <w:t xml:space="preserve"> </w:t>
      </w:r>
      <w:r>
        <w:rPr>
          <w:b/>
          <w:bCs/>
        </w:rPr>
        <w:t xml:space="preserve">recruiting/retention comp</w:t>
      </w:r>
      <w:r>
        <w:t xml:space="preserve"> </w:t>
      </w:r>
      <w:r>
        <w:t xml:space="preserve">(now broken out separately), and (3)</w:t>
      </w:r>
      <w:r>
        <w:t xml:space="preserve"> </w:t>
      </w:r>
      <w:r>
        <w:rPr>
          <w:b/>
          <w:bCs/>
        </w:rPr>
        <w:t xml:space="preserve">mix shift toward independent advisors</w:t>
      </w:r>
      <w:r>
        <w:t xml:space="preserve"> </w:t>
      </w:r>
      <w:r>
        <w:t xml:space="preserve">(higher payout). Expect the comp ratio to stay elevated (~65–66% firmwide) and questions on when operating leverage returns.</w:t>
      </w:r>
    </w:p>
    <w:bookmarkEnd w:id="13"/>
    <w:bookmarkStart w:id="14" w:name="X117c040678d320d57b5121da7d78f9679a02631"/>
    <w:p>
      <w:pPr>
        <w:pStyle w:val="Heading2"/>
      </w:pPr>
      <w:r>
        <w:t xml:space="preserve">Capital Markets — easy comp, pipeline optionality</w:t>
      </w:r>
    </w:p>
    <w:p>
      <w:pPr>
        <w:pStyle w:val="Compact"/>
        <w:numPr>
          <w:ilvl w:val="0"/>
          <w:numId w:val="1005"/>
        </w:numPr>
      </w:pPr>
      <w:r>
        <w:t xml:space="preserve">This is the segment with the most YoY upside: last year's FQ3 posted a</w:t>
      </w:r>
      <w:r>
        <w:t xml:space="preserve"> </w:t>
      </w:r>
      <w:r>
        <w:rPr>
          <w:b/>
          <w:bCs/>
        </w:rPr>
        <w:t xml:space="preserve">$54M pre-tax loss</w:t>
      </w:r>
      <w:r>
        <w:t xml:space="preserve"> </w:t>
      </w:r>
      <w:r>
        <w:t xml:space="preserve">purely because of the $58M legal reserve — that headwind</w:t>
      </w:r>
      <w:r>
        <w:t xml:space="preserve"> </w:t>
      </w:r>
      <w:r>
        <w:rPr>
          <w:b/>
          <w:bCs/>
        </w:rPr>
        <w:t xml:space="preserve">does not repeat</w:t>
      </w:r>
      <w:r>
        <w:t xml:space="preserve">, so a swing to solid profitability should flatter the consolidated YoY.</w:t>
      </w:r>
    </w:p>
    <w:p>
      <w:pPr>
        <w:pStyle w:val="Compact"/>
        <w:numPr>
          <w:ilvl w:val="0"/>
          <w:numId w:val="1005"/>
        </w:numPr>
      </w:pPr>
      <w:r>
        <w:t xml:space="preserve">Underlying momentum improved in FQ2 (IB revenue $272M, +31% YoY, with a "particularly strong" March). Management describes the IB pipeline as strong but flags that</w:t>
      </w:r>
      <w:r>
        <w:t xml:space="preserve"> </w:t>
      </w:r>
      <w:r>
        <w:rPr>
          <w:b/>
          <w:bCs/>
        </w:rPr>
        <w:t xml:space="preserve">timing of closings remains uncertain</w:t>
      </w:r>
      <w:r>
        <w:t xml:space="preserve"> </w:t>
      </w:r>
      <w:r>
        <w:t xml:space="preserve">— the classic caveat. The</w:t>
      </w:r>
      <w:r>
        <w:t xml:space="preserve"> </w:t>
      </w:r>
      <w:r>
        <w:rPr>
          <w:b/>
          <w:bCs/>
        </w:rPr>
        <w:t xml:space="preserve">GreensLedge</w:t>
      </w:r>
      <w:r>
        <w:t xml:space="preserve"> </w:t>
      </w:r>
      <w:r>
        <w:t xml:space="preserve">acquisition (closed late FQ2) adds capabilities.</w:t>
      </w:r>
    </w:p>
    <w:p>
      <w:pPr>
        <w:pStyle w:val="Compact"/>
        <w:numPr>
          <w:ilvl w:val="0"/>
          <w:numId w:val="1005"/>
        </w:numPr>
      </w:pPr>
      <w:r>
        <w:t xml:space="preserve">Watch M&amp;A/advisory and debt &amp; equity underwriting; sponsor-driven activity is the key driver.</w:t>
      </w:r>
    </w:p>
    <w:bookmarkEnd w:id="14"/>
    <w:bookmarkStart w:id="15" w:name="bank--credit"/>
    <w:p>
      <w:pPr>
        <w:pStyle w:val="Heading2"/>
      </w:pPr>
      <w:r>
        <w:t xml:space="preserve">Bank &amp; credit</w:t>
      </w:r>
    </w:p>
    <w:p>
      <w:pPr>
        <w:pStyle w:val="Compact"/>
        <w:numPr>
          <w:ilvl w:val="0"/>
          <w:numId w:val="1006"/>
        </w:numPr>
      </w:pPr>
      <w:r>
        <w:t xml:space="preserve">**Record loans of</w:t>
      </w:r>
      <w:r>
        <w:t xml:space="preserve"> </w:t>
      </w:r>
      <m:oMath>
        <m:r>
          <m:t>54.8</m:t>
        </m:r>
        <m:r>
          <m:t>B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a</m:t>
        </m:r>
        <m:r>
          <m:t>t</m:t>
        </m:r>
        <m:r>
          <m:t>M</m:t>
        </m:r>
        <m:r>
          <m:t>a</m:t>
        </m:r>
        <m:r>
          <m:t>r</m:t>
        </m:r>
        <m:r>
          <m:t>c</m:t>
        </m:r>
        <m:r>
          <m:t>h</m:t>
        </m:r>
        <m:r>
          <m:t>31</m:t>
        </m:r>
        <m:r>
          <m:rPr>
            <m:sty m:val="p"/>
          </m:rPr>
          <m:t>,</m:t>
        </m:r>
        <m:r>
          <m:t> </m:t>
        </m:r>
      </m:oMath>
      <w:r>
        <w:t xml:space="preserve">55.3B at May 31, driven by</w:t>
      </w:r>
      <w:r>
        <w:t xml:space="preserve"> </w:t>
      </w:r>
      <w:r>
        <w:rPr>
          <w:b/>
          <w:bCs/>
        </w:rPr>
        <w:t xml:space="preserve">securities-based lending (+31% YoY)</w:t>
      </w:r>
      <w:r>
        <w:t xml:space="preserve"> </w:t>
      </w:r>
      <w:r>
        <w:t xml:space="preserve">and residential mortgages, partly offset by</w:t>
      </w:r>
      <w:r>
        <w:t xml:space="preserve"> </w:t>
      </w:r>
      <w:r>
        <w:rPr>
          <w:b/>
          <w:bCs/>
        </w:rPr>
        <w:t xml:space="preserve">shrinking corporate loans</w:t>
      </w:r>
      <w:r>
        <w:t xml:space="preserve"> </w:t>
      </w:r>
      <w:r>
        <w:t xml:space="preserve">(a deliberate de-risking that also weighs on yield/mix).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Credit remains clean:</w:t>
      </w:r>
      <w:r>
        <w:t xml:space="preserve"> </w:t>
      </w:r>
      <w:r>
        <w:t xml:space="preserve">NPAs down YoY (0.27% of assets), criticized loans stable, small provisions. Don't expect credit to be the story unless corporate/CRE cracks.</w:t>
      </w:r>
    </w:p>
    <w:bookmarkEnd w:id="15"/>
    <w:bookmarkStart w:id="16" w:name="capital-return--ma"/>
    <w:p>
      <w:pPr>
        <w:pStyle w:val="Heading2"/>
      </w:pPr>
      <w:r>
        <w:t xml:space="preserve">Capital return &amp; M&amp;A</w:t>
      </w:r>
    </w:p>
    <w:p>
      <w:pPr>
        <w:pStyle w:val="Compact"/>
        <w:numPr>
          <w:ilvl w:val="0"/>
          <w:numId w:val="1007"/>
        </w:numPr>
      </w:pPr>
      <w:r>
        <w:t xml:space="preserve">RJF is returning capital aggressively:</w:t>
      </w:r>
      <w:r>
        <w:t xml:space="preserve"> </w:t>
      </w:r>
      <m:oMath>
        <m:r>
          <m:t>400</m:t>
        </m:r>
        <m:r>
          <m:t>M</m:t>
        </m:r>
        <m:r>
          <m:t>b</m:t>
        </m:r>
        <m:r>
          <m:t>u</m:t>
        </m:r>
        <m:r>
          <m:t>y</m:t>
        </m:r>
        <m:r>
          <m:t>b</m:t>
        </m:r>
        <m:r>
          <m:t>a</m:t>
        </m:r>
        <m:r>
          <m:t>c</m:t>
        </m:r>
        <m:r>
          <m:t>k</m:t>
        </m:r>
        <m:r>
          <m:t>i</m:t>
        </m:r>
        <m:r>
          <m:t>n</m:t>
        </m:r>
        <m:r>
          <m:t>F</m:t>
        </m:r>
        <m:r>
          <m:t>Q</m:t>
        </m:r>
        <m:r>
          <m:t>2</m:t>
        </m:r>
        <m:r>
          <m:t>a</m:t>
        </m:r>
        <m:r>
          <m:t>t</m:t>
        </m:r>
        <m:r>
          <m:t> </m:t>
        </m:r>
      </m:oMath>
      <w:r>
        <w:rPr>
          <w:b/>
          <w:bCs/>
        </w:rPr>
        <w:t xml:space="preserve">155</w:t>
      </w:r>
      <w:r>
        <w:t xml:space="preserve">, ~</w:t>
      </w:r>
      <w:r>
        <w:rPr>
          <w:b/>
          <w:bCs/>
        </w:rPr>
        <w:t xml:space="preserve">$1.6B repurchased over the trailing 12 months</w:t>
      </w:r>
      <w:r>
        <w:t xml:space="preserve">, ~94% of earnings returned including dividends. Falling share count is a steady EPS tailwind.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Excess capital is ample:</w:t>
      </w:r>
      <w:r>
        <w:t xml:space="preserve"> </w:t>
      </w:r>
      <w:r>
        <w:t xml:space="preserve">Tier 1 leverage 12.4% vs. a conservative 10% target, ~</w:t>
      </w:r>
      <w:r>
        <w:rPr>
          <w:b/>
          <w:bCs/>
        </w:rPr>
        <w:t xml:space="preserve">$2.1B of excess capacity</w:t>
      </w:r>
      <w:r>
        <w:t xml:space="preserve">. Watch for commentary on (a) buyback pace, (b) appetite for a larger wealth-management acquisition — management hinted private-equity buyers are struggling to raise capital, which could reduce competition for deals.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Recent tuck-ins:</w:t>
      </w:r>
      <w:r>
        <w:t xml:space="preserve"> </w:t>
      </w:r>
      <w:r>
        <w:t xml:space="preserve">Clark Capital closed April 30 (adds ~</w:t>
      </w:r>
      <m:oMath>
        <m:r>
          <m:t>37</m:t>
        </m:r>
        <m:r>
          <m:t>B</m:t>
        </m:r>
        <m:r>
          <m:t>A</m:t>
        </m:r>
        <m:r>
          <m:t>U</m:t>
        </m:r>
        <m:r>
          <m:t>M</m:t>
        </m:r>
        <m:r>
          <m:rPr>
            <m:sty m:val="p"/>
          </m:rPr>
          <m:t>/</m:t>
        </m:r>
        <m:r>
          <m:t> </m:t>
        </m:r>
      </m:oMath>
      <w:r>
        <w:t xml:space="preserve">49B total client assets — already visible in the May AUM jump to $342.7B, +35% YoY); GreensLedge in Capital Markets.</w:t>
      </w:r>
    </w:p>
    <w:bookmarkEnd w:id="16"/>
    <w:bookmarkStart w:id="17" w:name="what-could-move-the-stock"/>
    <w:p>
      <w:pPr>
        <w:pStyle w:val="Heading2"/>
      </w:pPr>
      <w:r>
        <w:t xml:space="preserve">What could move the stock</w:t>
      </w:r>
    </w:p>
    <w:p>
      <w:pPr>
        <w:pStyle w:val="FirstParagraph"/>
      </w:pPr>
      <w:r>
        <w:rPr>
          <w:b/>
          <w:bCs/>
        </w:rPr>
        <w:t xml:space="preserve">Bullish:</w:t>
      </w:r>
      <w:r>
        <w:t xml:space="preserve"> </w:t>
      </w:r>
      <w:r>
        <w:t xml:space="preserve">record AUA/fee-based assets flowing into higher recurring revenue; the non-repeat of the legal reserve; strong recruiting/NNA; clean credit; buyback support; any upbeat IB conversion or a bigger M&amp;A signal.</w:t>
      </w:r>
    </w:p>
    <w:p>
      <w:pPr>
        <w:pStyle w:val="BodyText"/>
      </w:pPr>
      <w:r>
        <w:rPr>
          <w:b/>
          <w:bCs/>
        </w:rPr>
        <w:t xml:space="preserve">Bearish/risk:</w:t>
      </w:r>
      <w:r>
        <w:t xml:space="preserve"> </w:t>
      </w:r>
      <w:r>
        <w:t xml:space="preserve">renewed cash-sweep attrition or a dovish rate path pressuring NII; PCG margin erosion from comp/mix; IB closings slipping again; a lumpy tax rate (FQ2 was 26% on non-deductible COLI losses vs. 24–25% FY guide); and the market's structural worry about the value of cash-based earnings.</w:t>
      </w:r>
    </w:p>
    <w:bookmarkEnd w:id="17"/>
    <w:bookmarkStart w:id="18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Consensus of ~</w:t>
      </w:r>
      <m:oMath>
        <m:r>
          <m:t>2.91</m:t>
        </m:r>
        <m:r>
          <m:t>e</m:t>
        </m:r>
        <m:r>
          <m:t>m</m:t>
        </m:r>
        <m:r>
          <m:t>b</m:t>
        </m:r>
        <m:r>
          <m:t>e</m:t>
        </m:r>
        <m:r>
          <m:t>d</m:t>
        </m:r>
        <m:r>
          <m:t>s</m:t>
        </m:r>
        <m:r>
          <m:t>s</m:t>
        </m:r>
        <m:r>
          <m:t>t</m:t>
        </m:r>
        <m:r>
          <m:t>r</m:t>
        </m:r>
        <m:r>
          <m:t>o</m:t>
        </m:r>
        <m:r>
          <m:t>n</m:t>
        </m:r>
        <m:r>
          <m:t>g</m:t>
        </m:r>
        <m:r>
          <m:t>Y</m:t>
        </m:r>
        <m:r>
          <m:t>o</m:t>
        </m:r>
        <m:r>
          <m:t>Y</m:t>
        </m:r>
        <m:r>
          <m:t>g</m:t>
        </m:r>
        <m:r>
          <m:t>r</m:t>
        </m:r>
        <m:r>
          <m:t>o</m:t>
        </m:r>
        <m:r>
          <m:t>w</m:t>
        </m:r>
        <m:r>
          <m:t>t</m:t>
        </m:r>
        <m:r>
          <m:t>h</m:t>
        </m:r>
        <m:r>
          <m:t>t</m:t>
        </m:r>
        <m:r>
          <m:t>h</m:t>
        </m:r>
        <m:r>
          <m:t>a</m:t>
        </m:r>
        <m:r>
          <m:t>t</m:t>
        </m:r>
        <m:r>
          <m:t>i</m:t>
        </m:r>
        <m:r>
          <m:t>s</m:t>
        </m:r>
        <m:r>
          <m:t>p</m:t>
        </m:r>
        <m:r>
          <m:t>a</m:t>
        </m:r>
        <m:r>
          <m:t>r</m:t>
        </m:r>
        <m:r>
          <m:t>t</m:t>
        </m:r>
        <m:r>
          <m:t>l</m:t>
        </m:r>
        <m:r>
          <m:t>y</m:t>
        </m:r>
        <m:r>
          <m:t>f</m:t>
        </m:r>
        <m:r>
          <m:t>l</m:t>
        </m:r>
        <m:r>
          <m:t>a</m:t>
        </m:r>
        <m:r>
          <m:t>t</m:t>
        </m:r>
        <m:r>
          <m:t>t</m:t>
        </m:r>
        <m:r>
          <m:t>e</m:t>
        </m:r>
        <m:r>
          <m:t>r</m:t>
        </m:r>
        <m:r>
          <m:t>e</m:t>
        </m:r>
        <m:r>
          <m:t>d</m:t>
        </m:r>
        <m:r>
          <m:t>b</m:t>
        </m:r>
        <m:r>
          <m:t>y</m:t>
        </m:r>
        <m:r>
          <m:t>a</m:t>
        </m:r>
        <m:r>
          <m:t>n</m:t>
        </m:r>
        <m:r>
          <m:t>e</m:t>
        </m:r>
        <m:r>
          <m:t>a</m:t>
        </m:r>
        <m:r>
          <m:t>s</m:t>
        </m:r>
        <m:r>
          <m:t>y</m:t>
        </m:r>
        <m:r>
          <m:t>c</m:t>
        </m:r>
        <m:r>
          <m:t>o</m:t>
        </m:r>
        <m:r>
          <m:t>m</m:t>
        </m:r>
        <m:r>
          <m:t>p</m:t>
        </m:r>
        <m:r>
          <m:rPr>
            <m:sty m:val="p"/>
          </m:rPr>
          <m:t>.</m:t>
        </m:r>
        <m:r>
          <m:t>T</m:t>
        </m:r>
        <m:r>
          <m:t>h</m:t>
        </m:r>
        <m:r>
          <m:t>e</m:t>
        </m:r>
        <m:r>
          <m:t>q</m:t>
        </m:r>
        <m:r>
          <m:t>u</m:t>
        </m:r>
        <m:r>
          <m:t>a</m:t>
        </m:r>
        <m:r>
          <m:t>r</m:t>
        </m:r>
        <m:r>
          <m:t>t</m:t>
        </m:r>
        <m:r>
          <m:t>e</m:t>
        </m:r>
        <m:r>
          <m:t>r</m:t>
        </m:r>
        <m:r>
          <m:t>i</m:t>
        </m:r>
        <m:r>
          <m:t>t</m:t>
        </m:r>
        <m:r>
          <m:t>s</m:t>
        </m:r>
        <m:r>
          <m:t>e</m:t>
        </m:r>
        <m:r>
          <m:t>l</m:t>
        </m:r>
        <m:r>
          <m:t>f</m:t>
        </m:r>
        <m:r>
          <m:t>s</m:t>
        </m:r>
        <m:r>
          <m:t>h</m:t>
        </m:r>
        <m:r>
          <m:t>o</m:t>
        </m:r>
        <m:r>
          <m:t>u</m:t>
        </m:r>
        <m:r>
          <m:t>l</m:t>
        </m:r>
        <m:r>
          <m:t>d</m:t>
        </m:r>
        <m:r>
          <m:t>b</m:t>
        </m:r>
        <m:r>
          <m:t>e</m:t>
        </m:r>
        <m:r>
          <m:t>s</m:t>
        </m:r>
        <m:r>
          <m:t>o</m:t>
        </m:r>
        <m:r>
          <m:t>l</m:t>
        </m:r>
        <m:r>
          <m:t>i</m:t>
        </m:r>
        <m:r>
          <m:t>d</m:t>
        </m:r>
        <m:r>
          <m:rPr>
            <m:sty m:val="p"/>
          </m:rPr>
          <m:t>—</m:t>
        </m:r>
        <m:r>
          <m:t>r</m:t>
        </m:r>
        <m:r>
          <m:t>e</m:t>
        </m:r>
        <m:r>
          <m:t>c</m:t>
        </m:r>
        <m:r>
          <m:t>u</m:t>
        </m:r>
        <m:r>
          <m:t>r</m:t>
        </m:r>
        <m:r>
          <m:t>r</m:t>
        </m:r>
        <m:r>
          <m:t>i</m:t>
        </m:r>
        <m:r>
          <m:t>n</m:t>
        </m:r>
        <m:r>
          <m:t>g</m:t>
        </m:r>
        <m:r>
          <m:t>f</m:t>
        </m:r>
        <m:r>
          <m:t>e</m:t>
        </m:r>
        <m:r>
          <m:t>e</m:t>
        </m:r>
        <m:r>
          <m:t>s</m:t>
        </m:r>
        <m:r>
          <m:t>a</m:t>
        </m:r>
        <m:r>
          <m:t>r</m:t>
        </m:r>
        <m:r>
          <m:t>e</m:t>
        </m:r>
        <m:r>
          <m:t>s</m:t>
        </m:r>
        <m:r>
          <m:t>u</m:t>
        </m:r>
        <m:r>
          <m:t>p</m:t>
        </m:r>
        <m:r>
          <m:t>p</m:t>
        </m:r>
        <m:r>
          <m:t>o</m:t>
        </m:r>
        <m:r>
          <m:t>r</m:t>
        </m:r>
        <m:r>
          <m:t>t</m:t>
        </m:r>
        <m:r>
          <m:t>e</m:t>
        </m:r>
        <m:r>
          <m:t>d</m:t>
        </m:r>
        <m:r>
          <m:rPr>
            <m:sty m:val="p"/>
          </m:rPr>
          <m:t>,</m:t>
        </m:r>
        <m:r>
          <m:t>c</m:t>
        </m:r>
        <m:r>
          <m:t>r</m:t>
        </m:r>
        <m:r>
          <m:t>e</m:t>
        </m:r>
        <m:r>
          <m:t>d</m:t>
        </m:r>
        <m:r>
          <m:t>i</m:t>
        </m:r>
        <m:r>
          <m:t>t</m:t>
        </m:r>
        <m:r>
          <m:t>i</m:t>
        </m:r>
        <m:r>
          <m:t>s</m:t>
        </m:r>
        <m:r>
          <m:t>b</m:t>
        </m:r>
        <m:r>
          <m:t>e</m:t>
        </m:r>
        <m:r>
          <m:t>n</m:t>
        </m:r>
        <m:r>
          <m:t>i</m:t>
        </m:r>
        <m:r>
          <m:t>g</m:t>
        </m:r>
        <m:r>
          <m:t>n</m:t>
        </m:r>
        <m:r>
          <m:rPr>
            <m:sty m:val="p"/>
          </m:rPr>
          <m:t>,</m:t>
        </m:r>
        <m:r>
          <m:t>a</m:t>
        </m:r>
        <m:r>
          <m:t>n</m:t>
        </m:r>
        <m:r>
          <m:t>d</m:t>
        </m:r>
        <m:r>
          <m:t>b</m:t>
        </m:r>
        <m:r>
          <m:t>u</m:t>
        </m:r>
        <m:r>
          <m:t>y</m:t>
        </m:r>
        <m:r>
          <m:t>b</m:t>
        </m:r>
        <m:r>
          <m:t>a</m:t>
        </m:r>
        <m:r>
          <m:t>c</m:t>
        </m:r>
        <m:r>
          <m:t>k</m:t>
        </m:r>
        <m:r>
          <m:t>s</m:t>
        </m:r>
        <m:r>
          <m:t>h</m:t>
        </m:r>
        <m:r>
          <m:t>e</m:t>
        </m:r>
        <m:r>
          <m:t>l</m:t>
        </m:r>
        <m:r>
          <m:t>p</m:t>
        </m:r>
        <m:r>
          <m:t>E</m:t>
        </m:r>
        <m:r>
          <m:t>P</m:t>
        </m:r>
        <m:r>
          <m:t>S</m:t>
        </m:r>
        <m:r>
          <m:rPr>
            <m:sty m:val="p"/>
          </m:rPr>
          <m:t>—</m:t>
        </m:r>
        <m:r>
          <m:t>b</m:t>
        </m:r>
        <m:r>
          <m:t>u</m:t>
        </m:r>
        <m:r>
          <m:t>t</m:t>
        </m:r>
        <m:r>
          <m:t>t</m:t>
        </m:r>
        <m:r>
          <m:t>h</m:t>
        </m:r>
        <m:r>
          <m:t>e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f</m:t>
        </m:r>
        <m:r>
          <m:t>o</m:t>
        </m:r>
        <m:r>
          <m:t>r</m:t>
        </m:r>
        <m:r>
          <m:t>w</m:t>
        </m:r>
        <m:r>
          <m:t>a</m:t>
        </m:r>
        <m:r>
          <m:t>r</m:t>
        </m:r>
        <m:r>
          <m:t>d</m:t>
        </m:r>
        <m:r>
          <m:t>s</m:t>
        </m:r>
        <m:r>
          <m:t>e</m:t>
        </m:r>
        <m:r>
          <m:t>t</m:t>
        </m:r>
        <m:r>
          <m:t>u</m:t>
        </m:r>
        <m:r>
          <m:t>p</m:t>
        </m:r>
        <m:r>
          <m:t>m</m:t>
        </m:r>
        <m:r>
          <m:t>a</m:t>
        </m:r>
        <m:r>
          <m:t>t</m:t>
        </m:r>
        <m:r>
          <m:t>t</m:t>
        </m:r>
        <m:r>
          <m:t>e</m:t>
        </m:r>
        <m:r>
          <m:t>r</m:t>
        </m:r>
        <m:r>
          <m:t>s</m:t>
        </m:r>
        <m:r>
          <m:t>m</m:t>
        </m:r>
        <m:r>
          <m:t>o</m:t>
        </m:r>
        <m:r>
          <m:t>r</m:t>
        </m:r>
        <m:r>
          <m:t>e</m:t>
        </m:r>
        <m:r>
          <m:t>t</m:t>
        </m:r>
        <m:r>
          <m:t>h</m:t>
        </m:r>
        <m:r>
          <m:t>a</m:t>
        </m:r>
        <m:r>
          <m:t>n</m:t>
        </m:r>
        <m:r>
          <m:t>t</m:t>
        </m:r>
        <m:r>
          <m:t>h</m:t>
        </m:r>
        <m:r>
          <m:t>e</m:t>
        </m:r>
        <m:r>
          <m:t>h</m:t>
        </m:r>
        <m:r>
          <m:t>e</m:t>
        </m:r>
        <m:r>
          <m:t>a</m:t>
        </m:r>
        <m:r>
          <m:t>d</m:t>
        </m:r>
        <m:r>
          <m:t>l</m:t>
        </m:r>
        <m:r>
          <m:t>i</m:t>
        </m:r>
        <m:r>
          <m:t>n</m:t>
        </m:r>
        <m:r>
          <m:t>e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:</m:t>
        </m:r>
        <m:r>
          <m:t>t</m:t>
        </m:r>
        <m:r>
          <m:t>h</m:t>
        </m:r>
        <m:r>
          <m:t>e</m:t>
        </m:r>
        <m:r>
          <m:t> </m:t>
        </m:r>
      </m:oMath>
      <w:r>
        <w:t xml:space="preserve">1.16T fee-based base sets up a stronger FQ4, while the real swing factors for the stock are</w:t>
      </w:r>
      <w:r>
        <w:t xml:space="preserve"> </w:t>
      </w:r>
      <w:r>
        <w:rPr>
          <w:b/>
          <w:bCs/>
        </w:rPr>
        <w:t xml:space="preserve">cash-sweep commentary, the rate outlook's effect on NII, PCG margin trajectory, and any escalation in capital deployment (buybacks or a needle-moving acquisition).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Preview based on RJF's FQ2'26 and FQ3'25 earnings releases and transcripts, its May 2026 monthly operating data, and public consensus estimates (~</w:t>
      </w:r>
      <m:oMath>
        <m:r>
          <m:t>2.91</m:t>
        </m:r>
        <m:r>
          <m:t>E</m:t>
        </m:r>
        <m:r>
          <m:t>P</m:t>
        </m:r>
        <m:r>
          <m:t>S</m:t>
        </m:r>
        <m:r>
          <m:rPr>
            <m:sty m:val="p"/>
          </m:rPr>
          <m:t>/</m:t>
        </m:r>
        <m:r>
          <m:t> </m:t>
        </m:r>
      </m:oMath>
      <w:r>
        <w:rPr>
          <w:i/>
          <w:iCs/>
        </w:rPr>
        <w:t xml:space="preserve">3.86–3.91B revenue). Fiscal Q3 = quarter ended June 30, 2026.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2026-07-22T00:41:53Z</dcterms:created>
  <dcterms:modified xsi:type="dcterms:W3CDTF">2026-07-22T00:41:53Z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