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8c62b21f9b3fe3ed9f94ee07b48b1c26ae8715f"/>
    <w:p>
      <w:pPr>
        <w:pStyle w:val="Heading1"/>
      </w:pPr>
      <w:r>
        <w:t xml:space="preserve">Raymond James Financial (RJF) Fiscal 3Q26 Earnings Preview</w:t>
      </w:r>
    </w:p>
    <w:p>
      <w:pPr>
        <w:pStyle w:val="BlockText"/>
      </w:pPr>
      <w:r>
        <w:rPr>
          <w:b/>
          <w:bCs/>
        </w:rPr>
        <w:t xml:space="preserve">Timing note:</w:t>
      </w:r>
      <w:r>
        <w:t xml:space="preserve"> </w:t>
      </w:r>
      <w:r>
        <w:t xml:space="preserve">July 22, 2026 is today, not tomorrow. RJF’s fiscal 3Q26 results and earnings call are scheduled for</w:t>
      </w:r>
      <w:r>
        <w:t xml:space="preserve"> </w:t>
      </w:r>
      <w:r>
        <w:rPr>
          <w:b/>
          <w:bCs/>
        </w:rPr>
        <w:t xml:space="preserve">Wednesday, July 22, 2026</w:t>
      </w:r>
      <w:r>
        <w:t xml:space="preserve">, likely after the market close based on the company’s usual reporting cadence.</w:t>
      </w:r>
    </w:p>
    <w:bookmarkStart w:id="9" w:name="investment-view-going-into-the-report"/>
    <w:p>
      <w:pPr>
        <w:pStyle w:val="Heading2"/>
      </w:pPr>
      <w:r>
        <w:t xml:space="preserve">Investment view going into the report</w:t>
      </w:r>
    </w:p>
    <w:p>
      <w:pPr>
        <w:pStyle w:val="FirstParagraph"/>
      </w:pPr>
      <w:r>
        <w:t xml:space="preserve">RJF enters fiscal 3Q26 with unusually strong client-asset growth, healthy advisor recruiting and a favorable credit profile. The central question is whether those strengths can produce operating leverage while the company continues to absorb elevated recruiting, technology and acquisition-related costs.</w:t>
      </w:r>
    </w:p>
    <w:p>
      <w:pPr>
        <w:pStyle w:val="BodyText"/>
      </w:pPr>
      <w:r>
        <w:t xml:space="preserve">The setup appears constructive for revenue, particularly in wealth and asset management. The earnings swing factors are likely to be:</w:t>
      </w:r>
    </w:p>
    <w:p>
      <w:pPr>
        <w:pStyle w:val="Compact"/>
        <w:numPr>
          <w:ilvl w:val="0"/>
          <w:numId w:val="1001"/>
        </w:numPr>
      </w:pPr>
      <w:r>
        <w:rPr>
          <w:b/>
          <w:bCs/>
        </w:rPr>
        <w:t xml:space="preserve">Capital Markets conversion</w:t>
      </w:r>
      <w:r>
        <w:t xml:space="preserve">, where the pipeline is strong but closing dates remain uncertain.</w:t>
      </w:r>
    </w:p>
    <w:p>
      <w:pPr>
        <w:pStyle w:val="Compact"/>
        <w:numPr>
          <w:ilvl w:val="0"/>
          <w:numId w:val="1001"/>
        </w:numPr>
      </w:pPr>
      <w:r>
        <w:rPr>
          <w:b/>
          <w:bCs/>
        </w:rPr>
        <w:t xml:space="preserve">Private Client Group margins</w:t>
      </w:r>
      <w:r>
        <w:t xml:space="preserve">, given high advisor compensation and upfront recruiting costs.</w:t>
      </w:r>
    </w:p>
    <w:p>
      <w:pPr>
        <w:pStyle w:val="Compact"/>
        <w:numPr>
          <w:ilvl w:val="0"/>
          <w:numId w:val="1001"/>
        </w:numPr>
      </w:pPr>
      <w:r>
        <w:rPr>
          <w:b/>
          <w:bCs/>
        </w:rPr>
        <w:t xml:space="preserve">Bank revenue</w:t>
      </w:r>
      <w:r>
        <w:t xml:space="preserve">, where loan growth has slowed sequentially and cash balances remain below March levels.</w:t>
      </w:r>
    </w:p>
    <w:p>
      <w:pPr>
        <w:pStyle w:val="Compact"/>
        <w:numPr>
          <w:ilvl w:val="0"/>
          <w:numId w:val="1001"/>
        </w:numPr>
      </w:pPr>
      <w:r>
        <w:rPr>
          <w:b/>
          <w:bCs/>
        </w:rPr>
        <w:t xml:space="preserve">Expense guidance</w:t>
      </w:r>
      <w:r>
        <w:t xml:space="preserve">, especially whether management can maintain its approximately 20% adjusted pretax-margin objective.</w:t>
      </w:r>
    </w:p>
    <w:p>
      <w:pPr>
        <w:pStyle w:val="FirstParagraph"/>
      </w:pPr>
      <w:r>
        <w:t xml:space="preserve">Shares closed July 21 at</w:t>
      </w:r>
      <w:r>
        <w:t xml:space="preserve"> </w:t>
      </w:r>
      <w:r>
        <w:rPr>
          <w:b/>
          <w:bCs/>
        </w:rPr>
        <w:t xml:space="preserve">$167.96</w:t>
      </w:r>
      <w:r>
        <w:t xml:space="preserve">, approximately 9% above their pre-fiscal-2Q earnings level. The stock therefore enters the report with a better result already partly anticipated.</w:t>
      </w:r>
    </w:p>
    <w:p>
      <w:r>
        <w:pict>
          <v:rect style="width:0;height:1.5pt" o:hralign="center" o:hrstd="t" o:hr="t"/>
        </w:pict>
      </w:r>
    </w:p>
    <w:bookmarkEnd w:id="9"/>
    <w:bookmarkStart w:id="10" w:name="the-scorecard"/>
    <w:p>
      <w:pPr>
        <w:pStyle w:val="Heading2"/>
      </w:pPr>
      <w:r>
        <w:t xml:space="preserve">The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Fiscal 2Q26 / latest data</w:t>
            </w:r>
          </w:p>
        </w:tc>
        <w:tc>
          <w:tcPr/>
          <w:p>
            <w:pPr>
              <w:pStyle w:val="Compact"/>
            </w:pPr>
            <w:r>
              <w:t xml:space="preserve">What matters in fiscal 3Q26</w:t>
            </w:r>
          </w:p>
        </w:tc>
      </w:tr>
      <w:tr>
        <w:tc>
          <w:tcPr/>
          <w:p>
            <w:pPr>
              <w:pStyle w:val="Compact"/>
            </w:pPr>
            <w:r>
              <w:t xml:space="preserve">Total client assets</w:t>
            </w:r>
          </w:p>
        </w:tc>
        <w:tc>
          <w:tcPr/>
          <w:p>
            <w:pPr>
              <w:pStyle w:val="Compact"/>
              <w:jc w:val="right"/>
            </w:pPr>
            <w:r>
              <w:t xml:space="preserve">$1.92T in May</w:t>
            </w:r>
          </w:p>
        </w:tc>
        <w:tc>
          <w:tcPr/>
          <w:p>
            <w:pPr>
              <w:pStyle w:val="Compact"/>
            </w:pPr>
            <w:r>
              <w:t xml:space="preserve">Sustainability of record asset levels and organic flows</w:t>
            </w:r>
          </w:p>
        </w:tc>
      </w:tr>
      <w:tr>
        <w:tc>
          <w:tcPr/>
          <w:p>
            <w:pPr>
              <w:pStyle w:val="Compact"/>
            </w:pPr>
            <w:r>
              <w:t xml:space="preserve">PCG assets under administration</w:t>
            </w:r>
          </w:p>
        </w:tc>
        <w:tc>
          <w:tcPr/>
          <w:p>
            <w:pPr>
              <w:pStyle w:val="Compact"/>
              <w:jc w:val="right"/>
            </w:pPr>
            <w:r>
              <w:t xml:space="preserve">$1.85T in May</w:t>
            </w:r>
          </w:p>
        </w:tc>
        <w:tc>
          <w:tcPr/>
          <w:p>
            <w:pPr>
              <w:pStyle w:val="Compact"/>
            </w:pPr>
            <w:r>
              <w:t xml:space="preserve">Growth excluding market appreciation</w:t>
            </w:r>
          </w:p>
        </w:tc>
      </w:tr>
      <w:tr>
        <w:tc>
          <w:tcPr/>
          <w:p>
            <w:pPr>
              <w:pStyle w:val="Compact"/>
            </w:pPr>
            <w:r>
              <w:t xml:space="preserve">PCG fee-based assets</w:t>
            </w:r>
          </w:p>
        </w:tc>
        <w:tc>
          <w:tcPr/>
          <w:p>
            <w:pPr>
              <w:pStyle w:val="Compact"/>
              <w:jc w:val="right"/>
            </w:pPr>
            <w:r>
              <w:t xml:space="preserve">$1.16T in May</w:t>
            </w:r>
          </w:p>
        </w:tc>
        <w:tc>
          <w:tcPr/>
          <w:p>
            <w:pPr>
              <w:pStyle w:val="Compact"/>
            </w:pPr>
            <w:r>
              <w:t xml:space="preserve">Main driver of wealth-management fee revenue</w:t>
            </w:r>
          </w:p>
        </w:tc>
      </w:tr>
      <w:tr>
        <w:tc>
          <w:tcPr/>
          <w:p>
            <w:pPr>
              <w:pStyle w:val="Compact"/>
            </w:pPr>
            <w:r>
              <w:t xml:space="preserve">Domestic PCG net new assets</w:t>
            </w:r>
          </w:p>
        </w:tc>
        <w:tc>
          <w:tcPr/>
          <w:p>
            <w:pPr>
              <w:pStyle w:val="Compact"/>
              <w:jc w:val="right"/>
            </w:pPr>
            <w:r>
              <w:t xml:space="preserve">$23.0B in 2Q; 5.8% annualized</w:t>
            </w:r>
          </w:p>
        </w:tc>
        <w:tc>
          <w:tcPr/>
          <w:p>
            <w:pPr>
              <w:pStyle w:val="Compact"/>
            </w:pPr>
            <w:r>
              <w:t xml:space="preserve">Whether growth remains near or above 5%</w:t>
            </w:r>
          </w:p>
        </w:tc>
      </w:tr>
      <w:tr>
        <w:tc>
          <w:tcPr/>
          <w:p>
            <w:pPr>
              <w:pStyle w:val="Compact"/>
            </w:pPr>
            <w:r>
              <w:t xml:space="preserve">Asset-management and administrative fees</w:t>
            </w:r>
          </w:p>
        </w:tc>
        <w:tc>
          <w:tcPr/>
          <w:p>
            <w:pPr>
              <w:pStyle w:val="Compact"/>
              <w:jc w:val="right"/>
            </w:pPr>
            <w:r>
              <w:t xml:space="preserve">$2.02B in 2Q</w:t>
            </w:r>
          </w:p>
        </w:tc>
        <w:tc>
          <w:tcPr/>
          <w:p>
            <w:pPr>
              <w:pStyle w:val="Compact"/>
            </w:pPr>
            <w:r>
              <w:t xml:space="preserve">Management guided to roughly 1% sequential growth</w:t>
            </w:r>
          </w:p>
        </w:tc>
      </w:tr>
      <w:tr>
        <w:tc>
          <w:tcPr/>
          <w:p>
            <w:pPr>
              <w:pStyle w:val="Compact"/>
            </w:pPr>
            <w:r>
              <w:t xml:space="preserve">Capital Markets revenue</w:t>
            </w:r>
          </w:p>
        </w:tc>
        <w:tc>
          <w:tcPr/>
          <w:p>
            <w:pPr>
              <w:pStyle w:val="Compact"/>
              <w:jc w:val="right"/>
            </w:pPr>
            <w:r>
              <w:t xml:space="preserve">$464M in 2Q</w:t>
            </w:r>
          </w:p>
        </w:tc>
        <w:tc>
          <w:tcPr/>
          <w:p>
            <w:pPr>
              <w:pStyle w:val="Compact"/>
            </w:pPr>
            <w:r>
              <w:t xml:space="preserve">Timing of M&amp;A and underwriting closings</w:t>
            </w:r>
          </w:p>
        </w:tc>
      </w:tr>
      <w:tr>
        <w:tc>
          <w:tcPr/>
          <w:p>
            <w:pPr>
              <w:pStyle w:val="Compact"/>
            </w:pPr>
            <w:r>
              <w:t xml:space="preserve">Investment-banking revenue</w:t>
            </w:r>
          </w:p>
        </w:tc>
        <w:tc>
          <w:tcPr/>
          <w:p>
            <w:pPr>
              <w:pStyle w:val="Compact"/>
              <w:jc w:val="right"/>
            </w:pPr>
            <w:r>
              <w:t xml:space="preserve">$272M in 2Q</w:t>
            </w:r>
          </w:p>
        </w:tc>
        <w:tc>
          <w:tcPr/>
          <w:p>
            <w:pPr>
              <w:pStyle w:val="Compact"/>
            </w:pPr>
            <w:r>
              <w:t xml:space="preserve">Whether March momentum continued</w:t>
            </w:r>
          </w:p>
        </w:tc>
      </w:tr>
      <w:tr>
        <w:tc>
          <w:tcPr/>
          <w:p>
            <w:pPr>
              <w:pStyle w:val="Compact"/>
            </w:pPr>
            <w:r>
              <w:t xml:space="preserve">Bank loans</w:t>
            </w:r>
          </w:p>
        </w:tc>
        <w:tc>
          <w:tcPr/>
          <w:p>
            <w:pPr>
              <w:pStyle w:val="Compact"/>
              <w:jc w:val="right"/>
            </w:pPr>
            <w:r>
              <w:t xml:space="preserve">$55.3B in May</w:t>
            </w:r>
          </w:p>
        </w:tc>
        <w:tc>
          <w:tcPr/>
          <w:p>
            <w:pPr>
              <w:pStyle w:val="Compact"/>
            </w:pPr>
            <w:r>
              <w:t xml:space="preserve">SBL growth versus softer corporate lending</w:t>
            </w:r>
          </w:p>
        </w:tc>
      </w:tr>
      <w:tr>
        <w:tc>
          <w:tcPr/>
          <w:p>
            <w:pPr>
              <w:pStyle w:val="Compact"/>
            </w:pPr>
            <w:r>
              <w:t xml:space="preserve">Bank NIM</w:t>
            </w:r>
          </w:p>
        </w:tc>
        <w:tc>
          <w:tcPr/>
          <w:p>
            <w:pPr>
              <w:pStyle w:val="Compact"/>
              <w:jc w:val="right"/>
            </w:pPr>
            <w:r>
              <w:t xml:space="preserve">2.81% in 2Q</w:t>
            </w:r>
          </w:p>
        </w:tc>
        <w:tc>
          <w:tcPr/>
          <w:p>
            <w:pPr>
              <w:pStyle w:val="Compact"/>
            </w:pPr>
            <w:r>
              <w:t xml:space="preserve">Stability amid an uncertain rate outlook</w:t>
            </w:r>
          </w:p>
        </w:tc>
      </w:tr>
      <w:tr>
        <w:tc>
          <w:tcPr/>
          <w:p>
            <w:pPr>
              <w:pStyle w:val="Compact"/>
            </w:pPr>
            <w:r>
              <w:t xml:space="preserve">Cash sweep plus ESP balances</w:t>
            </w:r>
          </w:p>
        </w:tc>
        <w:tc>
          <w:tcPr/>
          <w:p>
            <w:pPr>
              <w:pStyle w:val="Compact"/>
              <w:jc w:val="right"/>
            </w:pPr>
            <w:r>
              <w:t xml:space="preserve">$55.8B in May</w:t>
            </w:r>
          </w:p>
        </w:tc>
        <w:tc>
          <w:tcPr/>
          <w:p>
            <w:pPr>
              <w:pStyle w:val="Compact"/>
            </w:pPr>
            <w:r>
              <w:t xml:space="preserve">Below March’s $57.8B after fees and tax payments</w:t>
            </w:r>
          </w:p>
        </w:tc>
      </w:tr>
      <w:tr>
        <w:tc>
          <w:tcPr/>
          <w:p>
            <w:pPr>
              <w:pStyle w:val="Compact"/>
            </w:pPr>
            <w:r>
              <w:t xml:space="preserve">Adjusted pretax margin</w:t>
            </w:r>
          </w:p>
        </w:tc>
        <w:tc>
          <w:tcPr/>
          <w:p>
            <w:pPr>
              <w:pStyle w:val="Compact"/>
              <w:jc w:val="right"/>
            </w:pPr>
            <w:r>
              <w:t xml:space="preserve">19.7% in 2Q</w:t>
            </w:r>
          </w:p>
        </w:tc>
        <w:tc>
          <w:tcPr/>
          <w:p>
            <w:pPr>
              <w:pStyle w:val="Compact"/>
            </w:pPr>
            <w:r>
              <w:t xml:space="preserve">Approximately 20% remains the key benchmark</w:t>
            </w:r>
          </w:p>
        </w:tc>
      </w:tr>
      <w:tr>
        <w:tc>
          <w:tcPr/>
          <w:p>
            <w:pPr>
              <w:pStyle w:val="Compact"/>
            </w:pPr>
            <w:r>
              <w:t xml:space="preserve">Adjusted compensation ratio</w:t>
            </w:r>
          </w:p>
        </w:tc>
        <w:tc>
          <w:tcPr/>
          <w:p>
            <w:pPr>
              <w:pStyle w:val="Compact"/>
              <w:jc w:val="right"/>
            </w:pPr>
            <w:r>
              <w:t xml:space="preserve">65.7% in 2Q</w:t>
            </w:r>
          </w:p>
        </w:tc>
        <w:tc>
          <w:tcPr/>
          <w:p>
            <w:pPr>
              <w:pStyle w:val="Compact"/>
            </w:pPr>
            <w:r>
              <w:t xml:space="preserve">Management’s medium-term target is roughly 65%</w:t>
            </w:r>
          </w:p>
        </w:tc>
      </w:tr>
    </w:tbl>
    <w:p>
      <w:r>
        <w:pict>
          <v:rect style="width:0;height:1.5pt" o:hralign="center" o:hrstd="t" o:hr="t"/>
        </w:pict>
      </w:r>
    </w:p>
    <w:bookmarkEnd w:id="10"/>
    <w:bookmarkStart w:id="12" w:name="Xf4f7ded6958455128a2fb73b29fad7b0083d035"/>
    <w:p>
      <w:pPr>
        <w:pStyle w:val="Heading2"/>
      </w:pPr>
      <w:r>
        <w:t xml:space="preserve">1. Wealth-management fundamentals should be the strongest part of the report</w:t>
      </w:r>
    </w:p>
    <w:p>
      <w:pPr>
        <w:pStyle w:val="FirstParagraph"/>
      </w:pPr>
      <w:r>
        <w:t xml:space="preserve">The latest operating data were favorable. As of May 31:</w:t>
      </w:r>
    </w:p>
    <w:p>
      <w:pPr>
        <w:pStyle w:val="Compact"/>
        <w:numPr>
          <w:ilvl w:val="0"/>
          <w:numId w:val="1002"/>
        </w:numPr>
      </w:pPr>
      <w:r>
        <w:t xml:space="preserve">Total client assets reached a record</w:t>
      </w:r>
      <w:r>
        <w:t xml:space="preserve"> </w:t>
      </w:r>
      <w:r>
        <w:rPr>
          <w:b/>
          <w:bCs/>
        </w:rPr>
        <w:t xml:space="preserve">$1.92 trillion</w:t>
      </w:r>
      <w:r>
        <w:t xml:space="preserve">, up 21% year over year.</w:t>
      </w:r>
    </w:p>
    <w:p>
      <w:pPr>
        <w:pStyle w:val="Compact"/>
        <w:numPr>
          <w:ilvl w:val="0"/>
          <w:numId w:val="1002"/>
        </w:numPr>
      </w:pPr>
      <w:r>
        <w:t xml:space="preserve">PCG assets reached</w:t>
      </w:r>
      <w:r>
        <w:t xml:space="preserve"> </w:t>
      </w:r>
      <w:r>
        <w:rPr>
          <w:b/>
          <w:bCs/>
        </w:rPr>
        <w:t xml:space="preserve">$1.85 trillion</w:t>
      </w:r>
      <w:r>
        <w:t xml:space="preserve">, up 22%.</w:t>
      </w:r>
    </w:p>
    <w:p>
      <w:pPr>
        <w:pStyle w:val="Compact"/>
        <w:numPr>
          <w:ilvl w:val="0"/>
          <w:numId w:val="1002"/>
        </w:numPr>
      </w:pPr>
      <w:r>
        <w:t xml:space="preserve">PCG fee-based assets reached</w:t>
      </w:r>
      <w:r>
        <w:t xml:space="preserve"> </w:t>
      </w:r>
      <w:r>
        <w:rPr>
          <w:b/>
          <w:bCs/>
        </w:rPr>
        <w:t xml:space="preserve">$1.16 trillion</w:t>
      </w:r>
      <w:r>
        <w:t xml:space="preserve">, up 27%.</w:t>
      </w:r>
    </w:p>
    <w:p>
      <w:pPr>
        <w:pStyle w:val="Compact"/>
        <w:numPr>
          <w:ilvl w:val="0"/>
          <w:numId w:val="1002"/>
        </w:numPr>
      </w:pPr>
      <w:r>
        <w:t xml:space="preserve">May fee-based assets were 11% above the March quarter-end level.</w:t>
      </w:r>
    </w:p>
    <w:p>
      <w:pPr>
        <w:pStyle w:val="FirstParagraph"/>
      </w:pPr>
      <w:r>
        <w:t xml:space="preserve">These figures reflect both market appreciation and net inflows. The distinction will matter: investors are likely to place more weight on</w:t>
      </w:r>
      <w:r>
        <w:t xml:space="preserve"> </w:t>
      </w:r>
      <w:r>
        <w:rPr>
          <w:b/>
          <w:bCs/>
        </w:rPr>
        <w:t xml:space="preserve">net new assets and recruited advisor production</w:t>
      </w:r>
      <w:r>
        <w:t xml:space="preserve"> </w:t>
      </w:r>
      <w:r>
        <w:t xml:space="preserve">than on headline asset growth supported by higher equity markets.</w:t>
      </w:r>
    </w:p>
    <w:p>
      <w:pPr>
        <w:pStyle w:val="BodyText"/>
      </w:pPr>
      <w:r>
        <w:t xml:space="preserve">RJF generated $23 billion of domestic PCG net new assets in fiscal 2Q, equivalent to 5.8% annualized growth. First-half growth was 7%. A fiscal-3Q result around or above 5% would support management’s argument that recruiting momentum is durable rather than driven by isolated industry disruptions.</w:t>
      </w:r>
    </w:p>
    <w:p>
      <w:pPr>
        <w:pStyle w:val="BodyText"/>
      </w:pPr>
      <w:r>
        <w:t xml:space="preserve">Management said at its May investor day that fiscal 2026 recruited production was on track to exceed fiscal 2025’s record $407 million. Commentary on signed advisor commitments, the employee-versus-independent mix and retention will therefore be important.</w:t>
      </w:r>
    </w:p>
    <w:bookmarkStart w:id="11" w:name="the-margin-caveat"/>
    <w:p>
      <w:pPr>
        <w:pStyle w:val="Heading3"/>
      </w:pPr>
      <w:r>
        <w:t xml:space="preserve">The margin caveat</w:t>
      </w:r>
    </w:p>
    <w:p>
      <w:pPr>
        <w:pStyle w:val="FirstParagraph"/>
      </w:pPr>
      <w:r>
        <w:t xml:space="preserve">Strong recruiting is not immediately accretive to reported margins. RJF bears transition costs, account-transfer expenses, recruiting awards and higher sub-advisory fees before the recruited assets fully contribute to revenue.</w:t>
      </w:r>
    </w:p>
    <w:p>
      <w:pPr>
        <w:pStyle w:val="BodyText"/>
      </w:pPr>
      <w:r>
        <w:t xml:space="preserve">In fiscal 2Q:</w:t>
      </w:r>
    </w:p>
    <w:p>
      <w:pPr>
        <w:pStyle w:val="Compact"/>
        <w:numPr>
          <w:ilvl w:val="0"/>
          <w:numId w:val="1003"/>
        </w:numPr>
      </w:pPr>
      <w:r>
        <w:t xml:space="preserve">PCG revenue increased 13% year over year.</w:t>
      </w:r>
    </w:p>
    <w:p>
      <w:pPr>
        <w:pStyle w:val="Compact"/>
        <w:numPr>
          <w:ilvl w:val="0"/>
          <w:numId w:val="1003"/>
        </w:numPr>
      </w:pPr>
      <w:r>
        <w:t xml:space="preserve">PCG pretax income nevertheless declined 3%.</w:t>
      </w:r>
    </w:p>
    <w:p>
      <w:pPr>
        <w:pStyle w:val="Compact"/>
        <w:numPr>
          <w:ilvl w:val="0"/>
          <w:numId w:val="1003"/>
        </w:numPr>
      </w:pPr>
      <w:r>
        <w:t xml:space="preserve">Recruiting and retention compensation increased 25%.</w:t>
      </w:r>
    </w:p>
    <w:p>
      <w:pPr>
        <w:pStyle w:val="Compact"/>
        <w:numPr>
          <w:ilvl w:val="0"/>
          <w:numId w:val="1003"/>
        </w:numPr>
      </w:pPr>
      <w:r>
        <w:t xml:space="preserve">PCG’s advisor-channel mix shifted toward higher-payout independent advisors.</w:t>
      </w:r>
    </w:p>
    <w:p>
      <w:pPr>
        <w:pStyle w:val="FirstParagraph"/>
      </w:pPr>
      <w:r>
        <w:t xml:space="preserve">That makes</w:t>
      </w:r>
      <w:r>
        <w:t xml:space="preserve"> </w:t>
      </w:r>
      <w:r>
        <w:rPr>
          <w:b/>
          <w:bCs/>
        </w:rPr>
        <w:t xml:space="preserve">PCG pretax margin</w:t>
      </w:r>
      <w:r>
        <w:t xml:space="preserve"> </w:t>
      </w:r>
      <w:r>
        <w:t xml:space="preserve">arguably more important than the segment’s headline revenue growth. A weak margin accompanied by strong recruiting would not necessarily impair the long-term story, but investors will want evidence that the revenue contribution is beginning to catch up with the upfront spending.</w:t>
      </w:r>
    </w:p>
    <w:p>
      <w:r>
        <w:pict>
          <v:rect style="width:0;height:1.5pt" o:hralign="center" o:hrstd="t" o:hr="t"/>
        </w:pict>
      </w:r>
    </w:p>
    <w:bookmarkEnd w:id="11"/>
    <w:bookmarkEnd w:id="12"/>
    <w:bookmarkStart w:id="13" w:name="Xe2897672e8ef444515cceb5a2f532b4b719def1"/>
    <w:p>
      <w:pPr>
        <w:pStyle w:val="Heading2"/>
      </w:pPr>
      <w:r>
        <w:t xml:space="preserve">2. Fee revenue should grow, but the full benefit of higher markets may arrive later</w:t>
      </w:r>
    </w:p>
    <w:p>
      <w:pPr>
        <w:pStyle w:val="FirstParagraph"/>
      </w:pPr>
      <w:r>
        <w:t xml:space="preserve">Management guided fiscal-3Q asset-management and related administrative fees to increase approximately</w:t>
      </w:r>
      <w:r>
        <w:t xml:space="preserve"> </w:t>
      </w:r>
      <w:r>
        <w:rPr>
          <w:b/>
          <w:bCs/>
        </w:rPr>
        <w:t xml:space="preserve">1% sequentially</w:t>
      </w:r>
      <w:r>
        <w:t xml:space="preserve"> </w:t>
      </w:r>
      <w:r>
        <w:t xml:space="preserve">from fiscal 2Q’s $2.02 billion. That implied an initial baseline near $2.04 billion.</w:t>
      </w:r>
    </w:p>
    <w:p>
      <w:pPr>
        <w:pStyle w:val="BodyText"/>
      </w:pPr>
      <w:r>
        <w:t xml:space="preserve">The substantial increase in fee-based assets through May creates upside to the medium-term fee outlook, although the timing depends on account-billing conventions. Much of the benefit from higher intra-quarter asset levels may be more visible in fiscal 4Q than in fiscal 3Q.</w:t>
      </w:r>
    </w:p>
    <w:p>
      <w:pPr>
        <w:pStyle w:val="BodyText"/>
      </w:pPr>
      <w:r>
        <w:t xml:space="preserve">Clark Capital, acquired April 30, added approximately:</w:t>
      </w:r>
    </w:p>
    <w:p>
      <w:pPr>
        <w:pStyle w:val="Compact"/>
        <w:numPr>
          <w:ilvl w:val="0"/>
          <w:numId w:val="1004"/>
        </w:numPr>
      </w:pPr>
      <w:r>
        <w:rPr>
          <w:b/>
          <w:bCs/>
        </w:rPr>
        <w:t xml:space="preserve">$37 billion</w:t>
      </w:r>
      <w:r>
        <w:t xml:space="preserve"> </w:t>
      </w:r>
      <w:r>
        <w:t xml:space="preserve">of discretionary assets under management; and</w:t>
      </w:r>
    </w:p>
    <w:p>
      <w:pPr>
        <w:pStyle w:val="Compact"/>
        <w:numPr>
          <w:ilvl w:val="0"/>
          <w:numId w:val="1004"/>
        </w:numPr>
      </w:pPr>
      <w:r>
        <w:rPr>
          <w:b/>
          <w:bCs/>
        </w:rPr>
        <w:t xml:space="preserve">$49 billion</w:t>
      </w:r>
      <w:r>
        <w:t xml:space="preserve"> </w:t>
      </w:r>
      <w:r>
        <w:t xml:space="preserve">of total client assets, including non-discretionary assets.</w:t>
      </w:r>
    </w:p>
    <w:p>
      <w:pPr>
        <w:pStyle w:val="FirstParagraph"/>
      </w:pPr>
      <w:r>
        <w:t xml:space="preserve">Fiscal 3Q should include roughly two months of Clark Capital’s operations. Investors should separate the acquisition contribution from organic growth and watch for integration, retention and expense commentary.</w:t>
      </w:r>
    </w:p>
    <w:p>
      <w:r>
        <w:pict>
          <v:rect style="width:0;height:1.5pt" o:hralign="center" o:hrstd="t" o:hr="t"/>
        </w:pict>
      </w:r>
    </w:p>
    <w:bookmarkEnd w:id="13"/>
    <w:bookmarkStart w:id="15" w:name="X810bb3423102214cf5a71b9233a9fc37f614e3c"/>
    <w:p>
      <w:pPr>
        <w:pStyle w:val="Heading2"/>
      </w:pPr>
      <w:r>
        <w:t xml:space="preserve">3. Capital Markets is the largest source of upside—and disappointment risk</w:t>
      </w:r>
    </w:p>
    <w:p>
      <w:pPr>
        <w:pStyle w:val="FirstParagraph"/>
      </w:pPr>
      <w:r>
        <w:t xml:space="preserve">Capital Markets improved sharply in fiscal 2Q:</w:t>
      </w:r>
    </w:p>
    <w:p>
      <w:pPr>
        <w:pStyle w:val="Compact"/>
        <w:numPr>
          <w:ilvl w:val="0"/>
          <w:numId w:val="1005"/>
        </w:numPr>
      </w:pPr>
      <w:r>
        <w:t xml:space="preserve">Segment revenue rose 22% sequentially to</w:t>
      </w:r>
      <w:r>
        <w:t xml:space="preserve"> </w:t>
      </w:r>
      <w:r>
        <w:rPr>
          <w:b/>
          <w:bCs/>
        </w:rPr>
        <w:t xml:space="preserve">$464 million</w:t>
      </w:r>
      <w:r>
        <w:t xml:space="preserve">.</w:t>
      </w:r>
    </w:p>
    <w:p>
      <w:pPr>
        <w:pStyle w:val="Compact"/>
        <w:numPr>
          <w:ilvl w:val="0"/>
          <w:numId w:val="1005"/>
        </w:numPr>
      </w:pPr>
      <w:r>
        <w:t xml:space="preserve">Investment-banking revenue increased 36% to</w:t>
      </w:r>
      <w:r>
        <w:t xml:space="preserve"> </w:t>
      </w:r>
      <w:r>
        <w:rPr>
          <w:b/>
          <w:bCs/>
        </w:rPr>
        <w:t xml:space="preserve">$272 million</w:t>
      </w:r>
      <w:r>
        <w:t xml:space="preserve">.</w:t>
      </w:r>
    </w:p>
    <w:p>
      <w:pPr>
        <w:pStyle w:val="Compact"/>
        <w:numPr>
          <w:ilvl w:val="0"/>
          <w:numId w:val="1005"/>
        </w:numPr>
      </w:pPr>
      <w:r>
        <w:t xml:space="preserve">Segment pretax income increased to</w:t>
      </w:r>
      <w:r>
        <w:t xml:space="preserve"> </w:t>
      </w:r>
      <w:r>
        <w:rPr>
          <w:b/>
          <w:bCs/>
        </w:rPr>
        <w:t xml:space="preserve">$51 million</w:t>
      </w:r>
      <w:r>
        <w:t xml:space="preserve"> </w:t>
      </w:r>
      <w:r>
        <w:t xml:space="preserve">from $9 million in fiscal 1Q.</w:t>
      </w:r>
    </w:p>
    <w:p>
      <w:pPr>
        <w:pStyle w:val="FirstParagraph"/>
      </w:pPr>
      <w:r>
        <w:t xml:space="preserve">Management has repeatedly described the investment-banking pipeline and client engagement as strong. It also cited opportunities from private-equity sponsors that need to monetize aging portfolio companies.</w:t>
      </w:r>
    </w:p>
    <w:p>
      <w:pPr>
        <w:pStyle w:val="BodyText"/>
      </w:pPr>
      <w:r>
        <w:t xml:space="preserve">The problem is timing. In its May operating update, RJF said activity levels remained strong but the timing of closings was uncertain. At investor day, management noted that geopolitical shocks and market volatility can cause transactions to stop abruptly.</w:t>
      </w:r>
    </w:p>
    <w:bookmarkStart w:id="14" w:name="what-would-constitute-a-good-result"/>
    <w:p>
      <w:pPr>
        <w:pStyle w:val="Heading3"/>
      </w:pPr>
      <w:r>
        <w:t xml:space="preserve">What would constitute a good result?</w:t>
      </w:r>
    </w:p>
    <w:p>
      <w:pPr>
        <w:pStyle w:val="FirstParagraph"/>
      </w:pPr>
      <w:r>
        <w:t xml:space="preserve">A constructive outcome would include:</w:t>
      </w:r>
    </w:p>
    <w:p>
      <w:pPr>
        <w:pStyle w:val="Compact"/>
        <w:numPr>
          <w:ilvl w:val="0"/>
          <w:numId w:val="1006"/>
        </w:numPr>
      </w:pPr>
      <w:r>
        <w:t xml:space="preserve">Investment-banking revenue holding near or above fiscal 2Q’s level;</w:t>
      </w:r>
    </w:p>
    <w:p>
      <w:pPr>
        <w:pStyle w:val="Compact"/>
        <w:numPr>
          <w:ilvl w:val="0"/>
          <w:numId w:val="1006"/>
        </w:numPr>
      </w:pPr>
      <w:r>
        <w:t xml:space="preserve">Continued strength across M&amp;A, equity underwriting and debt underwriting;</w:t>
      </w:r>
    </w:p>
    <w:p>
      <w:pPr>
        <w:pStyle w:val="Compact"/>
        <w:numPr>
          <w:ilvl w:val="0"/>
          <w:numId w:val="1006"/>
        </w:numPr>
      </w:pPr>
      <w:r>
        <w:t xml:space="preserve">Capital Markets margins moving toward the low-to-mid teens; and</w:t>
      </w:r>
    </w:p>
    <w:p>
      <w:pPr>
        <w:pStyle w:val="Compact"/>
        <w:numPr>
          <w:ilvl w:val="0"/>
          <w:numId w:val="1006"/>
        </w:numPr>
      </w:pPr>
      <w:r>
        <w:t xml:space="preserve">Management maintaining or improving its expectation for mid-single-digit investment-banking growth over the trailing-four-quarter baseline.</w:t>
      </w:r>
    </w:p>
    <w:p>
      <w:pPr>
        <w:pStyle w:val="FirstParagraph"/>
      </w:pPr>
      <w:r>
        <w:t xml:space="preserve">A material sequential decline in investment banking would probably be the clearest path to an earnings miss, even if the pipeline commentary remains optimistic.</w:t>
      </w:r>
    </w:p>
    <w:p>
      <w:r>
        <w:pict>
          <v:rect style="width:0;height:1.5pt" o:hralign="center" o:hrstd="t" o:hr="t"/>
        </w:pict>
      </w:r>
    </w:p>
    <w:bookmarkEnd w:id="14"/>
    <w:bookmarkEnd w:id="15"/>
    <w:bookmarkStart w:id="16" w:name="Xe08542a3787218517c1b54655e43209fce7b752"/>
    <w:p>
      <w:pPr>
        <w:pStyle w:val="Heading2"/>
      </w:pPr>
      <w:r>
        <w:t xml:space="preserve">4. The Bank should remain stable, but growth has moderated</w:t>
      </w:r>
    </w:p>
    <w:p>
      <w:pPr>
        <w:pStyle w:val="FirstParagraph"/>
      </w:pPr>
      <w:r>
        <w:t xml:space="preserve">Fiscal 2Q Bank results were strong:</w:t>
      </w:r>
    </w:p>
    <w:p>
      <w:pPr>
        <w:pStyle w:val="Compact"/>
        <w:numPr>
          <w:ilvl w:val="0"/>
          <w:numId w:val="1007"/>
        </w:numPr>
      </w:pPr>
      <w:r>
        <w:t xml:space="preserve">Net revenue was</w:t>
      </w:r>
      <w:r>
        <w:t xml:space="preserve"> </w:t>
      </w:r>
      <w:r>
        <w:rPr>
          <w:b/>
          <w:bCs/>
        </w:rPr>
        <w:t xml:space="preserve">$486 million</w:t>
      </w:r>
      <w:r>
        <w:t xml:space="preserve">, up 12% year over year.</w:t>
      </w:r>
    </w:p>
    <w:p>
      <w:pPr>
        <w:pStyle w:val="Compact"/>
        <w:numPr>
          <w:ilvl w:val="0"/>
          <w:numId w:val="1007"/>
        </w:numPr>
      </w:pPr>
      <w:r>
        <w:t xml:space="preserve">Pretax income was</w:t>
      </w:r>
      <w:r>
        <w:t xml:space="preserve"> </w:t>
      </w:r>
      <w:r>
        <w:rPr>
          <w:b/>
          <w:bCs/>
        </w:rPr>
        <w:t xml:space="preserve">$166 million</w:t>
      </w:r>
      <w:r>
        <w:t xml:space="preserve">, up 42%.</w:t>
      </w:r>
    </w:p>
    <w:p>
      <w:pPr>
        <w:pStyle w:val="Compact"/>
        <w:numPr>
          <w:ilvl w:val="0"/>
          <w:numId w:val="1007"/>
        </w:numPr>
      </w:pPr>
      <w:r>
        <w:t xml:space="preserve">Net interest margin held at</w:t>
      </w:r>
      <w:r>
        <w:t xml:space="preserve"> </w:t>
      </w:r>
      <w:r>
        <w:rPr>
          <w:b/>
          <w:bCs/>
        </w:rPr>
        <w:t xml:space="preserve">2.81%</w:t>
      </w:r>
      <w:r>
        <w:t xml:space="preserve">.</w:t>
      </w:r>
    </w:p>
    <w:p>
      <w:pPr>
        <w:pStyle w:val="Compact"/>
        <w:numPr>
          <w:ilvl w:val="0"/>
          <w:numId w:val="1007"/>
        </w:numPr>
      </w:pPr>
      <w:r>
        <w:t xml:space="preserve">Net loans reached a record</w:t>
      </w:r>
      <w:r>
        <w:t xml:space="preserve"> </w:t>
      </w:r>
      <w:r>
        <w:rPr>
          <w:b/>
          <w:bCs/>
        </w:rPr>
        <w:t xml:space="preserve">$54.8 billion</w:t>
      </w:r>
      <w:r>
        <w:t xml:space="preserve">.</w:t>
      </w:r>
    </w:p>
    <w:p>
      <w:pPr>
        <w:pStyle w:val="FirstParagraph"/>
      </w:pPr>
      <w:r>
        <w:t xml:space="preserve">Management guided combined net interest income and third-party bank-deposit-program fees to increase approximately 1% sequentially, assuming static rates and balances, principally because fiscal 3Q has one additional interest-earning day.</w:t>
      </w:r>
    </w:p>
    <w:p>
      <w:pPr>
        <w:pStyle w:val="BodyText"/>
      </w:pPr>
      <w:r>
        <w:t xml:space="preserve">May data were more mixed. Loans were $55.3 billion, only modestly above March, as growth in securities-based and residential mortgage lending was offset by lower corporate loans. Cash sweep and Enhanced Savings Program balances were $55.8 billion, versus $57.8 billion at March 31, reflecting fee collections and seasonal tax payments.</w:t>
      </w:r>
    </w:p>
    <w:p>
      <w:pPr>
        <w:pStyle w:val="BodyText"/>
      </w:pPr>
      <w:r>
        <w:t xml:space="preserve">The main questions are:</w:t>
      </w:r>
    </w:p>
    <w:p>
      <w:pPr>
        <w:pStyle w:val="Compact"/>
        <w:numPr>
          <w:ilvl w:val="0"/>
          <w:numId w:val="1008"/>
        </w:numPr>
      </w:pPr>
      <w:r>
        <w:t xml:space="preserve">Did securities-based lending maintain its strong growth rate?</w:t>
      </w:r>
    </w:p>
    <w:p>
      <w:pPr>
        <w:pStyle w:val="Compact"/>
        <w:numPr>
          <w:ilvl w:val="0"/>
          <w:numId w:val="1008"/>
        </w:numPr>
      </w:pPr>
      <w:r>
        <w:t xml:space="preserve">Did NIM remain around 2.8%?</w:t>
      </w:r>
    </w:p>
    <w:p>
      <w:pPr>
        <w:pStyle w:val="Compact"/>
        <w:numPr>
          <w:ilvl w:val="0"/>
          <w:numId w:val="1008"/>
        </w:numPr>
      </w:pPr>
      <w:r>
        <w:t xml:space="preserve">Have sweep balances stabilized after tax season?</w:t>
      </w:r>
    </w:p>
    <w:p>
      <w:pPr>
        <w:pStyle w:val="Compact"/>
        <w:numPr>
          <w:ilvl w:val="0"/>
          <w:numId w:val="1008"/>
        </w:numPr>
      </w:pPr>
      <w:r>
        <w:t xml:space="preserve">Is corporate loan contraction deliberate risk management or evidence of softer demand?</w:t>
      </w:r>
    </w:p>
    <w:p>
      <w:pPr>
        <w:pStyle w:val="Compact"/>
        <w:numPr>
          <w:ilvl w:val="0"/>
          <w:numId w:val="1008"/>
        </w:numPr>
      </w:pPr>
      <w:r>
        <w:t xml:space="preserve">Does management still consider credit costs unusually benign?</w:t>
      </w:r>
    </w:p>
    <w:p>
      <w:pPr>
        <w:pStyle w:val="FirstParagraph"/>
      </w:pPr>
      <w:r>
        <w:t xml:space="preserve">Credit quality should remain a relative strength. Fiscal 2Q nonperforming assets declined sequentially, the provision was only $5 million and management emphasized the low-risk mix of securities-based and residential mortgage lending.</w:t>
      </w:r>
    </w:p>
    <w:p>
      <w:r>
        <w:pict>
          <v:rect style="width:0;height:1.5pt" o:hralign="center" o:hrstd="t" o:hr="t"/>
        </w:pict>
      </w:r>
    </w:p>
    <w:bookmarkEnd w:id="16"/>
    <w:bookmarkStart w:id="17" w:name="X38d0748801a47926fea470305798c84644de426"/>
    <w:p>
      <w:pPr>
        <w:pStyle w:val="Heading2"/>
      </w:pPr>
      <w:r>
        <w:t xml:space="preserve">5. Expenses will determine whether good revenue becomes good earnings</w:t>
      </w:r>
    </w:p>
    <w:p>
      <w:pPr>
        <w:pStyle w:val="FirstParagraph"/>
      </w:pPr>
      <w:r>
        <w:t xml:space="preserve">RJF’s fiscal-2Q adjusted pretax margin was 19.7%, close to management’s approximately 20% objective. At the May investor day, management reaffirmed:</w:t>
      </w:r>
    </w:p>
    <w:p>
      <w:pPr>
        <w:pStyle w:val="Compact"/>
        <w:numPr>
          <w:ilvl w:val="0"/>
          <w:numId w:val="1009"/>
        </w:numPr>
      </w:pPr>
      <w:r>
        <w:t xml:space="preserve">An adjusted compensation ratio of approximately</w:t>
      </w:r>
      <w:r>
        <w:t xml:space="preserve"> </w:t>
      </w:r>
      <w:r>
        <w:rPr>
          <w:b/>
          <w:bCs/>
        </w:rPr>
        <w:t xml:space="preserve">65%</w:t>
      </w:r>
      <w:r>
        <w:t xml:space="preserve">;</w:t>
      </w:r>
    </w:p>
    <w:p>
      <w:pPr>
        <w:pStyle w:val="Compact"/>
        <w:numPr>
          <w:ilvl w:val="0"/>
          <w:numId w:val="1009"/>
        </w:numPr>
      </w:pPr>
      <w:r>
        <w:t xml:space="preserve">An adjusted pretax margin of approximately</w:t>
      </w:r>
      <w:r>
        <w:t xml:space="preserve"> </w:t>
      </w:r>
      <w:r>
        <w:rPr>
          <w:b/>
          <w:bCs/>
        </w:rPr>
        <w:t xml:space="preserve">20%</w:t>
      </w:r>
      <w:r>
        <w:t xml:space="preserve">;</w:t>
      </w:r>
    </w:p>
    <w:p>
      <w:pPr>
        <w:pStyle w:val="Compact"/>
        <w:numPr>
          <w:ilvl w:val="0"/>
          <w:numId w:val="1009"/>
        </w:numPr>
      </w:pPr>
      <w:r>
        <w:t xml:space="preserve">Adjusted return on common equity of at least</w:t>
      </w:r>
      <w:r>
        <w:t xml:space="preserve"> </w:t>
      </w:r>
      <w:r>
        <w:rPr>
          <w:b/>
          <w:bCs/>
        </w:rPr>
        <w:t xml:space="preserve">17%</w:t>
      </w:r>
      <w:r>
        <w:t xml:space="preserve">; and</w:t>
      </w:r>
    </w:p>
    <w:p>
      <w:pPr>
        <w:pStyle w:val="Compact"/>
        <w:numPr>
          <w:ilvl w:val="0"/>
          <w:numId w:val="1009"/>
        </w:numPr>
      </w:pPr>
      <w:r>
        <w:t xml:space="preserve">Adjusted return on tangible common equity of at least</w:t>
      </w:r>
      <w:r>
        <w:t xml:space="preserve"> </w:t>
      </w:r>
      <w:r>
        <w:rPr>
          <w:b/>
          <w:bCs/>
        </w:rPr>
        <w:t xml:space="preserve">20%</w:t>
      </w:r>
      <w:r>
        <w:t xml:space="preserve">.</w:t>
      </w:r>
    </w:p>
    <w:p>
      <w:pPr>
        <w:pStyle w:val="FirstParagraph"/>
      </w:pPr>
      <w:r>
        <w:t xml:space="preserve">Those targets are achievable if investment banking converts and PCG fee revenue grows. They become more difficult if recruiting and technology expenses remain elevated without corresponding capital-markets upside.</w:t>
      </w:r>
    </w:p>
    <w:p>
      <w:pPr>
        <w:pStyle w:val="BodyText"/>
      </w:pPr>
      <w:r>
        <w:t xml:space="preserve">Management has also said AI-related savings are likely to lag the initial investment. Investors should therefore be skeptical of near-term cost-reduction claims and instead look for measurable productivity indicators, such as faster account processing, reduced service calls and higher advisor capacity.</w:t>
      </w:r>
    </w:p>
    <w:p>
      <w:r>
        <w:pict>
          <v:rect style="width:0;height:1.5pt" o:hralign="center" o:hrstd="t" o:hr="t"/>
        </w:pict>
      </w:r>
    </w:p>
    <w:bookmarkEnd w:id="17"/>
    <w:bookmarkStart w:id="18" w:name="capital-return-and-valuation"/>
    <w:p>
      <w:pPr>
        <w:pStyle w:val="Heading2"/>
      </w:pPr>
      <w:r>
        <w:t xml:space="preserve">Capital return and valuation</w:t>
      </w:r>
    </w:p>
    <w:p>
      <w:pPr>
        <w:pStyle w:val="FirstParagraph"/>
      </w:pPr>
      <w:r>
        <w:t xml:space="preserve">RJF repurchased $400 million of shares in fiscal 2Q at an average price of</w:t>
      </w:r>
      <w:r>
        <w:t xml:space="preserve"> </w:t>
      </w:r>
      <m:oMath>
        <m:r>
          <m:t>155</m:t>
        </m:r>
        <m:r>
          <m:rPr>
            <m:sty m:val="p"/>
          </m:rPr>
          <m:t>.</m:t>
        </m:r>
        <m:r>
          <m:t>M</m:t>
        </m:r>
        <m:r>
          <m:t>a</m:t>
        </m:r>
        <m:r>
          <m:t>n</m:t>
        </m:r>
        <m:r>
          <m:t>a</m:t>
        </m:r>
        <m:r>
          <m:t>g</m:t>
        </m:r>
        <m:r>
          <m:t>e</m:t>
        </m:r>
        <m:r>
          <m:t>m</m:t>
        </m:r>
        <m:r>
          <m:t>e</m:t>
        </m:r>
        <m:r>
          <m:t>n</m:t>
        </m:r>
        <m:r>
          <m:t>t</m:t>
        </m:r>
        <m:r>
          <m:t>s</m:t>
        </m:r>
        <m:r>
          <m:t>u</m:t>
        </m:r>
        <m:r>
          <m:t>b</m:t>
        </m:r>
        <m:r>
          <m:t>s</m:t>
        </m:r>
        <m:r>
          <m:t>e</m:t>
        </m:r>
        <m:r>
          <m:t>q</m:t>
        </m:r>
        <m:r>
          <m:t>u</m:t>
        </m:r>
        <m:r>
          <m:t>e</m:t>
        </m:r>
        <m:r>
          <m:t>n</m:t>
        </m:r>
        <m:r>
          <m:t>t</m:t>
        </m:r>
        <m:r>
          <m:t>l</m:t>
        </m:r>
        <m:r>
          <m:t>y</m:t>
        </m:r>
        <m:r>
          <m:t>r</m:t>
        </m:r>
        <m:r>
          <m:t>e</m:t>
        </m:r>
        <m:r>
          <m:t>i</m:t>
        </m:r>
        <m:r>
          <m:t>t</m:t>
        </m:r>
        <m:r>
          <m:t>e</m:t>
        </m:r>
        <m:r>
          <m:t>r</m:t>
        </m:r>
        <m:r>
          <m:t>a</m:t>
        </m:r>
        <m:r>
          <m:t>t</m:t>
        </m:r>
        <m:r>
          <m:t>e</m:t>
        </m:r>
        <m:r>
          <m:t>d</m:t>
        </m:r>
        <m:r>
          <m:t>a</m:t>
        </m:r>
        <m:r>
          <m:t>n</m:t>
        </m:r>
        <m:r>
          <m:t>i</m:t>
        </m:r>
        <m:r>
          <m:t>n</m:t>
        </m:r>
        <m:r>
          <m:t>t</m:t>
        </m:r>
        <m:r>
          <m:t>e</m:t>
        </m:r>
        <m:r>
          <m:t>n</m:t>
        </m:r>
        <m:r>
          <m:t>d</m:t>
        </m:r>
        <m:r>
          <m:t>e</m:t>
        </m:r>
        <m:r>
          <m:t>d</m:t>
        </m:r>
        <m:r>
          <m:t>r</m:t>
        </m:r>
        <m:r>
          <m:t>e</m:t>
        </m:r>
        <m:r>
          <m:t>p</m:t>
        </m:r>
        <m:r>
          <m:t>u</m:t>
        </m:r>
        <m:r>
          <m:t>r</m:t>
        </m:r>
        <m:r>
          <m:t>c</m:t>
        </m:r>
        <m:r>
          <m:t>h</m:t>
        </m:r>
        <m:r>
          <m:t>a</m:t>
        </m:r>
        <m:r>
          <m:t>s</m:t>
        </m:r>
        <m:r>
          <m:t>e</m:t>
        </m:r>
        <m:r>
          <m:t>p</m:t>
        </m:r>
        <m:r>
          <m:t>a</m:t>
        </m:r>
        <m:r>
          <m:t>c</m:t>
        </m:r>
        <m:r>
          <m:t>e</m:t>
        </m:r>
        <m:r>
          <m:t>o</m:t>
        </m:r>
        <m:r>
          <m:t>f</m:t>
        </m:r>
        <m:r>
          <m:t>a</m:t>
        </m:r>
        <m:r>
          <m:t>p</m:t>
        </m:r>
        <m:r>
          <m:t>p</m:t>
        </m:r>
        <m:r>
          <m:t>r</m:t>
        </m:r>
        <m:r>
          <m:t>o</m:t>
        </m:r>
        <m:r>
          <m:t>x</m:t>
        </m:r>
        <m:r>
          <m:t>i</m:t>
        </m:r>
        <m:r>
          <m:t>m</m:t>
        </m:r>
        <m:r>
          <m:t>a</m:t>
        </m:r>
        <m:r>
          <m:t>t</m:t>
        </m:r>
        <m:r>
          <m:t>e</m:t>
        </m:r>
        <m:r>
          <m:t>l</m:t>
        </m:r>
        <m:r>
          <m:t>y</m:t>
        </m:r>
        <m:r>
          <m:rPr>
            <m:sty m:val="p"/>
          </m:rPr>
          <m:t>*</m:t>
        </m:r>
        <m:r>
          <m:rPr>
            <m:sty m:val="p"/>
          </m:rPr>
          <m:t>*</m:t>
        </m:r>
      </m:oMath>
      <w:r>
        <w:t xml:space="preserve">400 million to $500 million per quarter**, subject to higher-priority growth and acquisition opportunities.</w:t>
      </w:r>
    </w:p>
    <w:p>
      <w:pPr>
        <w:pStyle w:val="BodyText"/>
      </w:pPr>
      <w:r>
        <w:t xml:space="preserve">At March 31, the company had:</w:t>
      </w:r>
    </w:p>
    <w:p>
      <w:pPr>
        <w:pStyle w:val="Compact"/>
        <w:numPr>
          <w:ilvl w:val="0"/>
          <w:numId w:val="1010"/>
        </w:numPr>
      </w:pPr>
      <w:r>
        <w:t xml:space="preserve">A 12.4% Tier 1 leverage ratio;</w:t>
      </w:r>
    </w:p>
    <w:p>
      <w:pPr>
        <w:pStyle w:val="Compact"/>
        <w:numPr>
          <w:ilvl w:val="0"/>
          <w:numId w:val="1010"/>
        </w:numPr>
      </w:pPr>
      <w:r>
        <w:t xml:space="preserve">Approximately $2.1 billion of capital above its 10% internal target;</w:t>
      </w:r>
    </w:p>
    <w:p>
      <w:pPr>
        <w:pStyle w:val="Compact"/>
        <w:numPr>
          <w:ilvl w:val="0"/>
          <w:numId w:val="1010"/>
        </w:numPr>
      </w:pPr>
      <w:r>
        <w:t xml:space="preserve">Nearly $3 billion of parent-company cash; and</w:t>
      </w:r>
    </w:p>
    <w:p>
      <w:pPr>
        <w:pStyle w:val="Compact"/>
        <w:numPr>
          <w:ilvl w:val="0"/>
          <w:numId w:val="1010"/>
        </w:numPr>
      </w:pPr>
      <w:r>
        <w:t xml:space="preserve">$1.5 billion remaining under its repurchase authorization.</w:t>
      </w:r>
    </w:p>
    <w:p>
      <w:pPr>
        <w:pStyle w:val="FirstParagraph"/>
      </w:pPr>
      <w:r>
        <w:t xml:space="preserve">At $167.96, the stock trades at roughly</w:t>
      </w:r>
      <w:r>
        <w:t xml:space="preserve"> </w:t>
      </w:r>
      <w:r>
        <w:rPr>
          <w:b/>
          <w:bCs/>
        </w:rPr>
        <w:t xml:space="preserve">3.0 times March tangible book value</w:t>
      </w:r>
      <w:r>
        <w:t xml:space="preserve">. That valuation places more emphasis on organic growth and durable returns than on simple balance-sheet value. Continued repurchases are supportive, but less accretive than the shares bought near $155 last quarter.</w:t>
      </w:r>
    </w:p>
    <w:p>
      <w:r>
        <w:pict>
          <v:rect style="width:0;height:1.5pt" o:hralign="center" o:hrstd="t" o:hr="t"/>
        </w:pict>
      </w:r>
    </w:p>
    <w:bookmarkEnd w:id="18"/>
    <w:bookmarkStart w:id="22" w:name="bull-base-and-bear-interpretations"/>
    <w:p>
      <w:pPr>
        <w:pStyle w:val="Heading2"/>
      </w:pPr>
      <w:r>
        <w:t xml:space="preserve">Bull, base and bear interpretations</w:t>
      </w:r>
    </w:p>
    <w:bookmarkStart w:id="19" w:name="bull-case"/>
    <w:p>
      <w:pPr>
        <w:pStyle w:val="Heading3"/>
      </w:pPr>
      <w:r>
        <w:t xml:space="preserve">Bull case</w:t>
      </w:r>
    </w:p>
    <w:p>
      <w:pPr>
        <w:pStyle w:val="Compact"/>
        <w:numPr>
          <w:ilvl w:val="0"/>
          <w:numId w:val="1011"/>
        </w:numPr>
      </w:pPr>
      <w:r>
        <w:t xml:space="preserve">Net new assets remain above 5% annualized.</w:t>
      </w:r>
    </w:p>
    <w:p>
      <w:pPr>
        <w:pStyle w:val="Compact"/>
        <w:numPr>
          <w:ilvl w:val="0"/>
          <w:numId w:val="1011"/>
        </w:numPr>
      </w:pPr>
      <w:r>
        <w:t xml:space="preserve">Fee-based assets translate into better-than-guided fee revenue.</w:t>
      </w:r>
    </w:p>
    <w:p>
      <w:pPr>
        <w:pStyle w:val="Compact"/>
        <w:numPr>
          <w:ilvl w:val="0"/>
          <w:numId w:val="1011"/>
        </w:numPr>
      </w:pPr>
      <w:r>
        <w:t xml:space="preserve">Investment banking equals or exceeds fiscal 2Q.</w:t>
      </w:r>
    </w:p>
    <w:p>
      <w:pPr>
        <w:pStyle w:val="Compact"/>
        <w:numPr>
          <w:ilvl w:val="0"/>
          <w:numId w:val="1011"/>
        </w:numPr>
      </w:pPr>
      <w:r>
        <w:t xml:space="preserve">Adjusted pretax margin exceeds 20%.</w:t>
      </w:r>
    </w:p>
    <w:p>
      <w:pPr>
        <w:pStyle w:val="Compact"/>
        <w:numPr>
          <w:ilvl w:val="0"/>
          <w:numId w:val="1011"/>
        </w:numPr>
      </w:pPr>
      <w:r>
        <w:t xml:space="preserve">Management maintains</w:t>
      </w:r>
      <w:r>
        <w:t xml:space="preserve"> </w:t>
      </w:r>
      <m:oMath>
        <m:r>
          <m:t>400</m:t>
        </m:r>
        <m:r>
          <m:t>m</m:t>
        </m:r>
        <m:r>
          <m:t>i</m:t>
        </m:r>
        <m:r>
          <m:t>l</m:t>
        </m:r>
        <m:r>
          <m:t>l</m:t>
        </m:r>
        <m:r>
          <m:t>i</m:t>
        </m:r>
        <m:r>
          <m:t>o</m:t>
        </m:r>
        <m:r>
          <m:t>n</m:t>
        </m:r>
        <m:r>
          <m:rPr>
            <m:sty m:val="p"/>
          </m:rPr>
          <m:t>–</m:t>
        </m:r>
      </m:oMath>
      <w:r>
        <w:t xml:space="preserve">500 million quarterly repurchases.</w:t>
      </w:r>
    </w:p>
    <w:p>
      <w:pPr>
        <w:pStyle w:val="Compact"/>
        <w:numPr>
          <w:ilvl w:val="0"/>
          <w:numId w:val="1011"/>
        </w:numPr>
      </w:pPr>
      <w:r>
        <w:t xml:space="preserve">Recruiting remains at a record pace without further PCG margin deterioration.</w:t>
      </w:r>
    </w:p>
    <w:bookmarkEnd w:id="19"/>
    <w:bookmarkStart w:id="20" w:name="base-case"/>
    <w:p>
      <w:pPr>
        <w:pStyle w:val="Heading3"/>
      </w:pPr>
      <w:r>
        <w:t xml:space="preserve">Base case</w:t>
      </w:r>
    </w:p>
    <w:p>
      <w:pPr>
        <w:pStyle w:val="Compact"/>
        <w:numPr>
          <w:ilvl w:val="0"/>
          <w:numId w:val="1012"/>
        </w:numPr>
      </w:pPr>
      <w:r>
        <w:t xml:space="preserve">Wealth and asset-management revenue grows as expected.</w:t>
      </w:r>
    </w:p>
    <w:p>
      <w:pPr>
        <w:pStyle w:val="Compact"/>
        <w:numPr>
          <w:ilvl w:val="0"/>
          <w:numId w:val="1012"/>
        </w:numPr>
      </w:pPr>
      <w:r>
        <w:t xml:space="preserve">Investment banking is uneven but the pipeline remains strong.</w:t>
      </w:r>
    </w:p>
    <w:p>
      <w:pPr>
        <w:pStyle w:val="Compact"/>
        <w:numPr>
          <w:ilvl w:val="0"/>
          <w:numId w:val="1012"/>
        </w:numPr>
      </w:pPr>
      <w:r>
        <w:t xml:space="preserve">Bank revenue is approximately flat to modestly higher.</w:t>
      </w:r>
    </w:p>
    <w:p>
      <w:pPr>
        <w:pStyle w:val="Compact"/>
        <w:numPr>
          <w:ilvl w:val="0"/>
          <w:numId w:val="1012"/>
        </w:numPr>
      </w:pPr>
      <w:r>
        <w:t xml:space="preserve">Adjusted margin stays near 20%.</w:t>
      </w:r>
    </w:p>
    <w:p>
      <w:pPr>
        <w:pStyle w:val="Compact"/>
        <w:numPr>
          <w:ilvl w:val="0"/>
          <w:numId w:val="1012"/>
        </w:numPr>
      </w:pPr>
      <w:r>
        <w:t xml:space="preserve">Expenses remain elevated because of recruiting and technology investment.</w:t>
      </w:r>
    </w:p>
    <w:p>
      <w:pPr>
        <w:pStyle w:val="FirstParagraph"/>
      </w:pPr>
      <w:r>
        <w:t xml:space="preserve">This would support the long-term thesis but might not be enough for substantial near-term multiple expansion after the stock’s recent rally.</w:t>
      </w:r>
    </w:p>
    <w:bookmarkEnd w:id="20"/>
    <w:bookmarkStart w:id="21" w:name="bear-case"/>
    <w:p>
      <w:pPr>
        <w:pStyle w:val="Heading3"/>
      </w:pPr>
      <w:r>
        <w:t xml:space="preserve">Bear case</w:t>
      </w:r>
    </w:p>
    <w:p>
      <w:pPr>
        <w:pStyle w:val="Compact"/>
        <w:numPr>
          <w:ilvl w:val="0"/>
          <w:numId w:val="1013"/>
        </w:numPr>
      </w:pPr>
      <w:r>
        <w:t xml:space="preserve">Capital Markets revenue falls materially because deals slip.</w:t>
      </w:r>
    </w:p>
    <w:p>
      <w:pPr>
        <w:pStyle w:val="Compact"/>
        <w:numPr>
          <w:ilvl w:val="0"/>
          <w:numId w:val="1013"/>
        </w:numPr>
      </w:pPr>
      <w:r>
        <w:t xml:space="preserve">PCG net new asset growth drops below 4%.</w:t>
      </w:r>
    </w:p>
    <w:p>
      <w:pPr>
        <w:pStyle w:val="Compact"/>
        <w:numPr>
          <w:ilvl w:val="0"/>
          <w:numId w:val="1013"/>
        </w:numPr>
      </w:pPr>
      <w:r>
        <w:t xml:space="preserve">Compensation and recruiting costs push adjusted margin below 19%.</w:t>
      </w:r>
    </w:p>
    <w:p>
      <w:pPr>
        <w:pStyle w:val="Compact"/>
        <w:numPr>
          <w:ilvl w:val="0"/>
          <w:numId w:val="1013"/>
        </w:numPr>
      </w:pPr>
      <w:r>
        <w:t xml:space="preserve">Cash balances decline further or NIM compresses.</w:t>
      </w:r>
    </w:p>
    <w:p>
      <w:pPr>
        <w:pStyle w:val="Compact"/>
        <w:numPr>
          <w:ilvl w:val="0"/>
          <w:numId w:val="1013"/>
        </w:numPr>
      </w:pPr>
      <w:r>
        <w:t xml:space="preserve">Management tempers its capital-return outlook due to acquisitions or balance-sheet deployment.</w:t>
      </w:r>
    </w:p>
    <w:p>
      <w:r>
        <w:pict>
          <v:rect style="width:0;height:1.5pt" o:hralign="center" o:hrstd="t" o:hr="t"/>
        </w:pict>
      </w:r>
    </w:p>
    <w:bookmarkEnd w:id="21"/>
    <w:bookmarkEnd w:id="22"/>
    <w:bookmarkStart w:id="23" w:name="bottom-line"/>
    <w:p>
      <w:pPr>
        <w:pStyle w:val="Heading2"/>
      </w:pPr>
      <w:r>
        <w:t xml:space="preserve">Bottom line</w:t>
      </w:r>
    </w:p>
    <w:p>
      <w:pPr>
        <w:pStyle w:val="FirstParagraph"/>
      </w:pPr>
      <w:r>
        <w:t xml:space="preserve">The fiscal-3Q setup is</w:t>
      </w:r>
      <w:r>
        <w:t xml:space="preserve"> </w:t>
      </w:r>
      <w:r>
        <w:rPr>
          <w:b/>
          <w:bCs/>
        </w:rPr>
        <w:t xml:space="preserve">fundamentally favorable but execution-dependent</w:t>
      </w:r>
      <w:r>
        <w:t xml:space="preserve">. Record fee-based assets and robust advisor recruiting provide a strong recurring-revenue foundation. Credit risk appears contained, and the balance sheet supports continued investment and repurchases.</w:t>
      </w:r>
    </w:p>
    <w:p>
      <w:pPr>
        <w:pStyle w:val="BodyText"/>
      </w:pPr>
      <w:r>
        <w:t xml:space="preserve">The report is unlikely to hinge on a single EPS number. The most consequential indicators will be:</w:t>
      </w:r>
    </w:p>
    <w:p>
      <w:pPr>
        <w:pStyle w:val="Compact"/>
        <w:numPr>
          <w:ilvl w:val="0"/>
          <w:numId w:val="1014"/>
        </w:numPr>
      </w:pPr>
      <w:r>
        <w:rPr>
          <w:b/>
          <w:bCs/>
        </w:rPr>
        <w:t xml:space="preserve">Domestic PCG net new asset growth</w:t>
      </w:r>
      <w:r>
        <w:t xml:space="preserve">;</w:t>
      </w:r>
    </w:p>
    <w:p>
      <w:pPr>
        <w:pStyle w:val="Compact"/>
        <w:numPr>
          <w:ilvl w:val="0"/>
          <w:numId w:val="1014"/>
        </w:numPr>
      </w:pPr>
      <w:r>
        <w:rPr>
          <w:b/>
          <w:bCs/>
        </w:rPr>
        <w:t xml:space="preserve">Investment-banking revenue and closing outlook</w:t>
      </w:r>
      <w:r>
        <w:t xml:space="preserve">;</w:t>
      </w:r>
    </w:p>
    <w:p>
      <w:pPr>
        <w:pStyle w:val="Compact"/>
        <w:numPr>
          <w:ilvl w:val="0"/>
          <w:numId w:val="1014"/>
        </w:numPr>
      </w:pPr>
      <w:r>
        <w:rPr>
          <w:b/>
          <w:bCs/>
        </w:rPr>
        <w:t xml:space="preserve">PCG and firmwide adjusted margins</w:t>
      </w:r>
      <w:r>
        <w:t xml:space="preserve">;</w:t>
      </w:r>
    </w:p>
    <w:p>
      <w:pPr>
        <w:pStyle w:val="Compact"/>
        <w:numPr>
          <w:ilvl w:val="0"/>
          <w:numId w:val="1014"/>
        </w:numPr>
      </w:pPr>
      <w:r>
        <w:rPr>
          <w:b/>
          <w:bCs/>
        </w:rPr>
        <w:t xml:space="preserve">Cash balances, NIM and securities-based lending growth</w:t>
      </w:r>
      <w:r>
        <w:t xml:space="preserve">; and</w:t>
      </w:r>
    </w:p>
    <w:p>
      <w:pPr>
        <w:pStyle w:val="Compact"/>
        <w:numPr>
          <w:ilvl w:val="0"/>
          <w:numId w:val="1014"/>
        </w:numPr>
      </w:pPr>
      <w:r>
        <w:rPr>
          <w:b/>
          <w:bCs/>
        </w:rPr>
        <w:t xml:space="preserve">Whether management reaffirms its approximately 20% margin and</w:t>
      </w:r>
      <w:r>
        <w:rPr>
          <w:b/>
          <w:bCs/>
        </w:rPr>
        <w:t xml:space="preserve"> </w:t>
      </w:r>
      <m:oMath>
        <m:r>
          <m:t>400</m:t>
        </m:r>
        <m:r>
          <m:t>m</m:t>
        </m:r>
        <m:r>
          <m:t>i</m:t>
        </m:r>
        <m:r>
          <m:t>l</m:t>
        </m:r>
        <m:r>
          <m:t>l</m:t>
        </m:r>
        <m:r>
          <m:t>i</m:t>
        </m:r>
        <m:r>
          <m:t>o</m:t>
        </m:r>
        <m:r>
          <m:t>n</m:t>
        </m:r>
        <m:r>
          <m:rPr>
            <m:sty m:val="p"/>
          </m:rPr>
          <m:t>–</m:t>
        </m:r>
      </m:oMath>
      <w:r>
        <w:rPr>
          <w:b/>
          <w:bCs/>
        </w:rPr>
        <w:t xml:space="preserve">500 million quarterly repurchase framework</w:t>
      </w:r>
      <w:r>
        <w:t xml:space="preserve">.</w:t>
      </w:r>
    </w:p>
    <w:p>
      <w:pPr>
        <w:pStyle w:val="FirstParagraph"/>
      </w:pPr>
      <w:r>
        <w:t xml:space="preserve">A clean report requires more than asset growth: investors need evidence that RJF can convert its recruiting, technology and capital-markets investments into better operating leverage.</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2026-07-22T00:41:57Z</dcterms:created>
  <dcterms:modified xsi:type="dcterms:W3CDTF">2026-07-22T00:41:57Z</dcterms:modified>
</cp:coreProperties>
</file>

<file path=docProps/custom.xml><?xml version="1.0" encoding="utf-8"?>
<Properties xmlns="http://schemas.openxmlformats.org/officeDocument/2006/custom-properties" xmlns:vt="http://schemas.openxmlformats.org/officeDocument/2006/docPropsVTypes"/>
</file>