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3c519e1e8fad8f4e4e3a2db55c27b6e42221ea4"/>
    <w:p>
      <w:pPr>
        <w:pStyle w:val="Heading1"/>
      </w:pPr>
      <w:r>
        <w:t xml:space="preserve">Raymond James Financial (NYSE: RJF) — Fiscal 3Q26 Earnings Preview</w:t>
      </w:r>
    </w:p>
    <w:p>
      <w:pPr>
        <w:pStyle w:val="BlockText"/>
      </w:pPr>
      <w:r>
        <w:rPr>
          <w:b/>
          <w:bCs/>
        </w:rPr>
        <w:t xml:space="preserve">Date clarification:</w:t>
      </w:r>
      <w:r>
        <w:t xml:space="preserve"> </w:t>
      </w:r>
      <w:r>
        <w:t xml:space="preserve">July 22, 2026 is</w:t>
      </w:r>
      <w:r>
        <w:t xml:space="preserve"> </w:t>
      </w:r>
      <w:r>
        <w:rPr>
          <w:b/>
          <w:bCs/>
        </w:rPr>
        <w:t xml:space="preserve">today</w:t>
      </w:r>
      <w:r>
        <w:t xml:space="preserve">, not tomorrow. This preview is for RJF’s fiscal 3Q26 results and earnings call expected on</w:t>
      </w:r>
      <w:r>
        <w:t xml:space="preserve"> </w:t>
      </w:r>
      <w:r>
        <w:rPr>
          <w:b/>
          <w:bCs/>
        </w:rPr>
        <w:t xml:space="preserve">Wednesday, July 22, 2026</w:t>
      </w:r>
      <w:r>
        <w:t xml:space="preserve">. The quarter ended</w:t>
      </w:r>
      <w:r>
        <w:t xml:space="preserve"> </w:t>
      </w:r>
      <w:r>
        <w:rPr>
          <w:b/>
          <w:bCs/>
        </w:rPr>
        <w:t xml:space="preserve">June 30, 2026</w:t>
      </w:r>
      <w:r>
        <w:t xml:space="preserve">.</w:t>
      </w:r>
    </w:p>
    <w:bookmarkStart w:id="9" w:name="bottom-line"/>
    <w:p>
      <w:pPr>
        <w:pStyle w:val="Heading2"/>
      </w:pPr>
      <w:r>
        <w:t xml:space="preserve">Bottom line</w:t>
      </w:r>
    </w:p>
    <w:p>
      <w:pPr>
        <w:pStyle w:val="FirstParagraph"/>
      </w:pPr>
      <w:r>
        <w:t xml:space="preserve">RJF enters the print with a favorable operating backdrop: materially higher client assets, strong fee-based asset growth, continued adviser-recruiting momentum, resilient bank credit, and an investment-banking pipeline management continues to characterize as strong. The principal question is not whether core wealth-management revenues grew—it is</w:t>
      </w:r>
      <w:r>
        <w:t xml:space="preserve"> </w:t>
      </w:r>
      <w:r>
        <w:rPr>
          <w:b/>
          <w:bCs/>
        </w:rPr>
        <w:t xml:space="preserve">how much of the favorable asset backdrop converts to earnings after recruiting, technology, acquisition, and compensation costs</w:t>
      </w:r>
      <w:r>
        <w:t xml:space="preserve">.</w:t>
      </w:r>
    </w:p>
    <w:p>
      <w:pPr>
        <w:pStyle w:val="BodyText"/>
      </w:pPr>
      <w:r>
        <w:t xml:space="preserve">The stock closed at</w:t>
      </w:r>
      <w:r>
        <w:t xml:space="preserve"> </w:t>
      </w:r>
      <w:r>
        <w:rPr>
          <w:b/>
          <w:bCs/>
        </w:rPr>
        <w:t xml:space="preserve">$167.96 on July 21</w:t>
      </w:r>
      <w:r>
        <w:t xml:space="preserve">, up roughly</w:t>
      </w:r>
      <w:r>
        <w:t xml:space="preserve"> </w:t>
      </w:r>
      <w:r>
        <w:rPr>
          <w:b/>
          <w:bCs/>
        </w:rPr>
        <w:t xml:space="preserve">8.7%</w:t>
      </w:r>
      <w:r>
        <w:t xml:space="preserve"> </w:t>
      </w:r>
      <w:r>
        <w:t xml:space="preserve">since the prior earnings release and about</w:t>
      </w:r>
      <w:r>
        <w:t xml:space="preserve"> </w:t>
      </w:r>
      <w:r>
        <w:rPr>
          <w:b/>
          <w:bCs/>
        </w:rPr>
        <w:t xml:space="preserve">18%</w:t>
      </w:r>
      <w:r>
        <w:t xml:space="preserve"> </w:t>
      </w:r>
      <w:r>
        <w:t xml:space="preserve">from its late-May low. That run raises the bar: investors will likely want evidence that the higher asset base, improving capital-markets activity, and recent acquisitions are translating into a durable path back toward—or above—the firm’s ~20% adjusted pre-tax-margin framework.</w:t>
      </w:r>
    </w:p>
    <w:bookmarkEnd w:id="9"/>
    <w:bookmarkStart w:id="10" w:name="why-this-quarter-matters"/>
    <w:p>
      <w:pPr>
        <w:pStyle w:val="Heading2"/>
      </w:pPr>
      <w:r>
        <w:t xml:space="preserve">Why this quarter matters</w:t>
      </w:r>
    </w:p>
    <w:p>
      <w:pPr>
        <w:pStyle w:val="FirstParagraph"/>
      </w:pPr>
      <w:r>
        <w:t xml:space="preserve">RJF’s investment case rests on a diversified earnings model anchored by Private Client Group (“PCG”) assets and fee revenues, with upside from capital markets and banking. Fiscal 3Q should test all three:</w:t>
      </w:r>
    </w:p>
    <w:p>
      <w:pPr>
        <w:pStyle w:val="Compact"/>
        <w:numPr>
          <w:ilvl w:val="0"/>
          <w:numId w:val="1001"/>
        </w:numPr>
      </w:pPr>
      <w:r>
        <w:rPr>
          <w:b/>
          <w:bCs/>
        </w:rPr>
        <w:t xml:space="preserve">Wealth-management fees should accelerate</w:t>
      </w:r>
      <w:r>
        <w:t xml:space="preserve"> </w:t>
      </w:r>
      <w:r>
        <w:t xml:space="preserve">given the sharp increase in fee-based assets through May.</w:t>
      </w:r>
    </w:p>
    <w:p>
      <w:pPr>
        <w:pStyle w:val="Compact"/>
        <w:numPr>
          <w:ilvl w:val="0"/>
          <w:numId w:val="1001"/>
        </w:numPr>
      </w:pPr>
      <w:r>
        <w:rPr>
          <w:b/>
          <w:bCs/>
        </w:rPr>
        <w:t xml:space="preserve">Capital Markets is the swing factor</w:t>
      </w:r>
      <w:r>
        <w:t xml:space="preserve"> </w:t>
      </w:r>
      <w:r>
        <w:t xml:space="preserve">after management cited a strong pipeline but acknowledged uncertainty around closing timing.</w:t>
      </w:r>
    </w:p>
    <w:p>
      <w:pPr>
        <w:pStyle w:val="Compact"/>
        <w:numPr>
          <w:ilvl w:val="0"/>
          <w:numId w:val="1001"/>
        </w:numPr>
      </w:pPr>
      <w:r>
        <w:rPr>
          <w:b/>
          <w:bCs/>
        </w:rPr>
        <w:t xml:space="preserve">Bank earnings need to hold up</w:t>
      </w:r>
      <w:r>
        <w:t xml:space="preserve"> </w:t>
      </w:r>
      <w:r>
        <w:t xml:space="preserve">as client cash balances remain below March levels and loan growth moderates.</w:t>
      </w:r>
    </w:p>
    <w:p>
      <w:pPr>
        <w:pStyle w:val="Compact"/>
        <w:numPr>
          <w:ilvl w:val="0"/>
          <w:numId w:val="1001"/>
        </w:numPr>
      </w:pPr>
      <w:r>
        <w:rPr>
          <w:b/>
          <w:bCs/>
        </w:rPr>
        <w:t xml:space="preserve">Expenses and margin discipline are central</w:t>
      </w:r>
      <w:r>
        <w:t xml:space="preserve"> </w:t>
      </w:r>
      <w:r>
        <w:t xml:space="preserve">because RJF is consciously investing behind adviser recruiting, technology/AI, and growth initiatives.</w:t>
      </w:r>
    </w:p>
    <w:bookmarkEnd w:id="10"/>
    <w:bookmarkStart w:id="11" w:name="the-setup-underlying-kpis-are-strong"/>
    <w:p>
      <w:pPr>
        <w:pStyle w:val="Heading2"/>
      </w:pPr>
      <w:r>
        <w:t xml:space="preserve">The setup: underlying KPIs are strong</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Fiscal 2Q26 / March 31</w:t>
            </w:r>
          </w:p>
        </w:tc>
        <w:tc>
          <w:tcPr/>
          <w:p>
            <w:pPr>
              <w:pStyle w:val="Compact"/>
              <w:jc w:val="right"/>
            </w:pPr>
            <w:r>
              <w:t xml:space="preserve">May 31 operating data</w:t>
            </w:r>
          </w:p>
        </w:tc>
        <w:tc>
          <w:tcPr/>
          <w:p>
            <w:pPr>
              <w:pStyle w:val="Compact"/>
            </w:pPr>
            <w:r>
              <w:t xml:space="preserve">Takeaway for fiscal 3Q</w:t>
            </w:r>
          </w:p>
        </w:tc>
      </w:tr>
      <w:tr>
        <w:tc>
          <w:tcPr/>
          <w:p>
            <w:pPr>
              <w:pStyle w:val="Compact"/>
            </w:pPr>
            <w:r>
              <w:t xml:space="preserve">Client assets under administration</w:t>
            </w:r>
          </w:p>
        </w:tc>
        <w:tc>
          <w:tcPr/>
          <w:p>
            <w:pPr>
              <w:pStyle w:val="Compact"/>
              <w:jc w:val="right"/>
            </w:pPr>
            <w:r>
              <w:t xml:space="preserve">$1.763T</w:t>
            </w:r>
          </w:p>
        </w:tc>
        <w:tc>
          <w:tcPr/>
          <w:p>
            <w:pPr>
              <w:pStyle w:val="Compact"/>
              <w:jc w:val="right"/>
            </w:pPr>
            <w:r>
              <w:rPr>
                <w:b/>
                <w:bCs/>
              </w:rPr>
              <w:t xml:space="preserve">$1.921T</w:t>
            </w:r>
          </w:p>
        </w:tc>
        <w:tc>
          <w:tcPr/>
          <w:p>
            <w:pPr>
              <w:pStyle w:val="Compact"/>
            </w:pPr>
            <w:r>
              <w:t xml:space="preserve">Strong market and net-flow tailwind for recurring fees</w:t>
            </w:r>
          </w:p>
        </w:tc>
      </w:tr>
      <w:tr>
        <w:tc>
          <w:tcPr/>
          <w:p>
            <w:pPr>
              <w:pStyle w:val="Compact"/>
            </w:pPr>
            <w:r>
              <w:t xml:space="preserve">PCG assets under administration</w:t>
            </w:r>
          </w:p>
        </w:tc>
        <w:tc>
          <w:tcPr/>
          <w:p>
            <w:pPr>
              <w:pStyle w:val="Compact"/>
              <w:jc w:val="right"/>
            </w:pPr>
            <w:r>
              <w:t xml:space="preserve">$1.699T</w:t>
            </w:r>
          </w:p>
        </w:tc>
        <w:tc>
          <w:tcPr/>
          <w:p>
            <w:pPr>
              <w:pStyle w:val="Compact"/>
              <w:jc w:val="right"/>
            </w:pPr>
            <w:r>
              <w:rPr>
                <w:b/>
                <w:bCs/>
              </w:rPr>
              <w:t xml:space="preserve">$1.851T</w:t>
            </w:r>
          </w:p>
        </w:tc>
        <w:tc>
          <w:tcPr/>
          <w:p>
            <w:pPr>
              <w:pStyle w:val="Compact"/>
            </w:pPr>
            <w:r>
              <w:t xml:space="preserve">Wealth platform continues to scale</w:t>
            </w:r>
          </w:p>
        </w:tc>
      </w:tr>
      <w:tr>
        <w:tc>
          <w:tcPr/>
          <w:p>
            <w:pPr>
              <w:pStyle w:val="Compact"/>
            </w:pPr>
            <w:r>
              <w:t xml:space="preserve">PCG fee-based assets</w:t>
            </w:r>
          </w:p>
        </w:tc>
        <w:tc>
          <w:tcPr/>
          <w:p>
            <w:pPr>
              <w:pStyle w:val="Compact"/>
              <w:jc w:val="right"/>
            </w:pPr>
            <w:r>
              <w:t xml:space="preserve">$1.043T</w:t>
            </w:r>
          </w:p>
        </w:tc>
        <w:tc>
          <w:tcPr/>
          <w:p>
            <w:pPr>
              <w:pStyle w:val="Compact"/>
              <w:jc w:val="right"/>
            </w:pPr>
            <w:r>
              <w:rPr>
                <w:b/>
                <w:bCs/>
              </w:rPr>
              <w:t xml:space="preserve">$1.157T</w:t>
            </w:r>
          </w:p>
        </w:tc>
        <w:tc>
          <w:tcPr/>
          <w:p>
            <w:pPr>
              <w:pStyle w:val="Compact"/>
            </w:pPr>
            <w:r>
              <w:t xml:space="preserve">The most important positive read-through for asset-management fees</w:t>
            </w:r>
          </w:p>
        </w:tc>
      </w:tr>
      <w:tr>
        <w:tc>
          <w:tcPr/>
          <w:p>
            <w:pPr>
              <w:pStyle w:val="Compact"/>
            </w:pPr>
            <w:r>
              <w:t xml:space="preserve">Financial AUM</w:t>
            </w:r>
          </w:p>
        </w:tc>
        <w:tc>
          <w:tcPr/>
          <w:p>
            <w:pPr>
              <w:pStyle w:val="Compact"/>
              <w:jc w:val="right"/>
            </w:pPr>
            <w:r>
              <w:t xml:space="preserve">$282.4B</w:t>
            </w:r>
          </w:p>
        </w:tc>
        <w:tc>
          <w:tcPr/>
          <w:p>
            <w:pPr>
              <w:pStyle w:val="Compact"/>
              <w:jc w:val="right"/>
            </w:pPr>
            <w:r>
              <w:rPr>
                <w:b/>
                <w:bCs/>
              </w:rPr>
              <w:t xml:space="preserve">$342.7B</w:t>
            </w:r>
          </w:p>
        </w:tc>
        <w:tc>
          <w:tcPr/>
          <w:p>
            <w:pPr>
              <w:pStyle w:val="Compact"/>
            </w:pPr>
            <w:r>
              <w:t xml:space="preserve">Includes $37B from Clark Capital; still indicates meaningful organic/market growth</w:t>
            </w:r>
          </w:p>
        </w:tc>
      </w:tr>
      <w:tr>
        <w:tc>
          <w:tcPr/>
          <w:p>
            <w:pPr>
              <w:pStyle w:val="Compact"/>
            </w:pPr>
            <w:r>
              <w:t xml:space="preserve">Net bank loans</w:t>
            </w:r>
          </w:p>
        </w:tc>
        <w:tc>
          <w:tcPr/>
          <w:p>
            <w:pPr>
              <w:pStyle w:val="Compact"/>
              <w:jc w:val="right"/>
            </w:pPr>
            <w:r>
              <w:t xml:space="preserve">$54.8B</w:t>
            </w:r>
          </w:p>
        </w:tc>
        <w:tc>
          <w:tcPr/>
          <w:p>
            <w:pPr>
              <w:pStyle w:val="Compact"/>
              <w:jc w:val="right"/>
            </w:pPr>
            <w:r>
              <w:rPr>
                <w:b/>
                <w:bCs/>
              </w:rPr>
              <w:t xml:space="preserve">$55.3B</w:t>
            </w:r>
          </w:p>
        </w:tc>
        <w:tc>
          <w:tcPr/>
          <w:p>
            <w:pPr>
              <w:pStyle w:val="Compact"/>
            </w:pPr>
            <w:r>
              <w:t xml:space="preserve">Modest net growth; mix matters more than headline balance</w:t>
            </w:r>
          </w:p>
        </w:tc>
      </w:tr>
      <w:tr>
        <w:tc>
          <w:tcPr/>
          <w:p>
            <w:pPr>
              <w:pStyle w:val="Compact"/>
            </w:pPr>
            <w:r>
              <w:t xml:space="preserve">Domestic sweep + ESP balances</w:t>
            </w:r>
          </w:p>
        </w:tc>
        <w:tc>
          <w:tcPr/>
          <w:p>
            <w:pPr>
              <w:pStyle w:val="Compact"/>
              <w:jc w:val="right"/>
            </w:pPr>
            <w:r>
              <w:t xml:space="preserve">$57.8B</w:t>
            </w:r>
          </w:p>
        </w:tc>
        <w:tc>
          <w:tcPr/>
          <w:p>
            <w:pPr>
              <w:pStyle w:val="Compact"/>
              <w:jc w:val="right"/>
            </w:pPr>
            <w:r>
              <w:rPr>
                <w:b/>
                <w:bCs/>
              </w:rPr>
              <w:t xml:space="preserve">$55.8B</w:t>
            </w:r>
          </w:p>
        </w:tc>
        <w:tc>
          <w:tcPr/>
          <w:p>
            <w:pPr>
              <w:pStyle w:val="Compact"/>
            </w:pPr>
            <w:r>
              <w:t xml:space="preserve">Funding/cash economics remain a modest headwind versus March</w:t>
            </w:r>
          </w:p>
        </w:tc>
      </w:tr>
    </w:tbl>
    <w:p>
      <w:pPr>
        <w:pStyle w:val="BodyText"/>
      </w:pPr>
      <w:r>
        <w:t xml:space="preserve">The May data were particularly constructive. PCG fee-based assets were up about</w:t>
      </w:r>
      <w:r>
        <w:t xml:space="preserve"> </w:t>
      </w:r>
      <w:r>
        <w:rPr>
          <w:b/>
          <w:bCs/>
        </w:rPr>
        <w:t xml:space="preserve">11% from March</w:t>
      </w:r>
      <w:r>
        <w:t xml:space="preserve">, driven by market appreciation, flows, and the continued migration toward advisory accounts. That should be a meaningful sequential tailwind to asset-management and related administrative fees, which represented more than half of consolidated net revenue in fiscal 2Q.</w:t>
      </w:r>
    </w:p>
    <w:bookmarkEnd w:id="11"/>
    <w:bookmarkStart w:id="17" w:name="what-investors-should-watch"/>
    <w:p>
      <w:pPr>
        <w:pStyle w:val="Heading2"/>
      </w:pPr>
      <w:r>
        <w:t xml:space="preserve">What investors should watch</w:t>
      </w:r>
    </w:p>
    <w:bookmarkStart w:id="12" w:name="X66faa06da7ee9ac8fb176190e2de94246cd0161"/>
    <w:p>
      <w:pPr>
        <w:pStyle w:val="Heading3"/>
      </w:pPr>
      <w:r>
        <w:t xml:space="preserve">1. Asset-management fees: likely the cleanest upside lever</w:t>
      </w:r>
    </w:p>
    <w:p>
      <w:pPr>
        <w:pStyle w:val="FirstParagraph"/>
      </w:pPr>
      <w:r>
        <w:t xml:space="preserve">In fiscal 2Q, RJF generated $2.02 billion of asset-management and related administrative fees, up 17% year over year. At that time, management guided to only about 1% sequential growth in fiscal 3Q based on then-current assets and one extra billing day.</w:t>
      </w:r>
    </w:p>
    <w:p>
      <w:pPr>
        <w:pStyle w:val="BodyText"/>
      </w:pPr>
      <w:r>
        <w:t xml:space="preserve">That guidance was made before the stronger May operating data. Fee-based PCG assets increased to $1.157 trillion in May from $1.043 trillion at March-end, while total client assets reached a record $1.921 trillion. Consequently, the key issue is whether the higher average asset base produces a more material sequential fee increase than the initial guide implied.</w:t>
      </w:r>
    </w:p>
    <w:p>
      <w:pPr>
        <w:pStyle w:val="BodyText"/>
      </w:pPr>
      <w:r>
        <w:rPr>
          <w:b/>
          <w:bCs/>
        </w:rPr>
        <w:t xml:space="preserve">Watch:</w:t>
      </w:r>
    </w:p>
    <w:p>
      <w:pPr>
        <w:pStyle w:val="Compact"/>
        <w:numPr>
          <w:ilvl w:val="0"/>
          <w:numId w:val="1002"/>
        </w:numPr>
      </w:pPr>
      <w:r>
        <w:t xml:space="preserve">PCG fee-based assets and their net flows;</w:t>
      </w:r>
    </w:p>
    <w:p>
      <w:pPr>
        <w:pStyle w:val="Compact"/>
        <w:numPr>
          <w:ilvl w:val="0"/>
          <w:numId w:val="1002"/>
        </w:numPr>
      </w:pPr>
      <w:r>
        <w:t xml:space="preserve">asset-management fee growth versus the fiscal 2Q base;</w:t>
      </w:r>
    </w:p>
    <w:p>
      <w:pPr>
        <w:pStyle w:val="Compact"/>
        <w:numPr>
          <w:ilvl w:val="0"/>
          <w:numId w:val="1002"/>
        </w:numPr>
      </w:pPr>
      <w:r>
        <w:t xml:space="preserve">adviser productivity and advisory-account penetration;</w:t>
      </w:r>
    </w:p>
    <w:p>
      <w:pPr>
        <w:pStyle w:val="Compact"/>
        <w:numPr>
          <w:ilvl w:val="0"/>
          <w:numId w:val="1002"/>
        </w:numPr>
      </w:pPr>
      <w:r>
        <w:t xml:space="preserve">the contribution from the April 30 Clark Capital acquisition.</w:t>
      </w:r>
    </w:p>
    <w:bookmarkEnd w:id="12"/>
    <w:bookmarkStart w:id="13" w:name="X3e6c8386f499268e22482b2547daf0107d11dfb"/>
    <w:p>
      <w:pPr>
        <w:pStyle w:val="Heading3"/>
      </w:pPr>
      <w:r>
        <w:t xml:space="preserve">2. Private Client Group: strong growth, but margins remain the debate</w:t>
      </w:r>
    </w:p>
    <w:p>
      <w:pPr>
        <w:pStyle w:val="FirstParagraph"/>
      </w:pPr>
      <w:r>
        <w:t xml:space="preserve">PCG remains the engine of RJF’s model, but it is also where the firm is investing aggressively. Fiscal 2Q PCG revenue rose 13% year over year to $2.81 billion, while segment pre-tax income declined 3% because lower interest-related revenues and growth investments more than offset fee growth.</w:t>
      </w:r>
    </w:p>
    <w:p>
      <w:pPr>
        <w:pStyle w:val="BodyText"/>
      </w:pPr>
      <w:r>
        <w:t xml:space="preserve">The important positive is that recruiting and retention appear unusually strong. In fiscal 2Q, domestic PCG net new assets were $23.0 billion, a 5.8% annualized growth rate; for the first half, annualized net-new-asset growth was 7%. Management also reported a robust recruiting pipeline across both employee and independent affiliation models.</w:t>
      </w:r>
    </w:p>
    <w:p>
      <w:pPr>
        <w:pStyle w:val="BodyText"/>
      </w:pPr>
      <w:r>
        <w:t xml:space="preserve">The counterpoint is cost. Recruiting/retention compensation, adviser payouts, account-transfer costs, and sub-advisory expenses are real near-term margin drags even if they create attractive longer-term returns.</w:t>
      </w:r>
    </w:p>
    <w:p>
      <w:pPr>
        <w:pStyle w:val="BodyText"/>
      </w:pPr>
      <w:r>
        <w:rPr>
          <w:b/>
          <w:bCs/>
        </w:rPr>
        <w:t xml:space="preserve">Watch:</w:t>
      </w:r>
    </w:p>
    <w:p>
      <w:pPr>
        <w:pStyle w:val="Compact"/>
        <w:numPr>
          <w:ilvl w:val="0"/>
          <w:numId w:val="1003"/>
        </w:numPr>
      </w:pPr>
      <w:r>
        <w:t xml:space="preserve">Net new assets and annualized growth;</w:t>
      </w:r>
    </w:p>
    <w:p>
      <w:pPr>
        <w:pStyle w:val="Compact"/>
        <w:numPr>
          <w:ilvl w:val="0"/>
          <w:numId w:val="1003"/>
        </w:numPr>
      </w:pPr>
      <w:r>
        <w:t xml:space="preserve">recruited adviser production and asset transfers;</w:t>
      </w:r>
    </w:p>
    <w:p>
      <w:pPr>
        <w:pStyle w:val="Compact"/>
        <w:numPr>
          <w:ilvl w:val="0"/>
          <w:numId w:val="1003"/>
        </w:numPr>
      </w:pPr>
      <w:r>
        <w:t xml:space="preserve">adviser retention;</w:t>
      </w:r>
    </w:p>
    <w:p>
      <w:pPr>
        <w:pStyle w:val="Compact"/>
        <w:numPr>
          <w:ilvl w:val="0"/>
          <w:numId w:val="1003"/>
        </w:numPr>
      </w:pPr>
      <w:r>
        <w:t xml:space="preserve">PCG pre-tax margin and financial-adviser compensation ratio;</w:t>
      </w:r>
    </w:p>
    <w:p>
      <w:pPr>
        <w:pStyle w:val="Compact"/>
        <w:numPr>
          <w:ilvl w:val="0"/>
          <w:numId w:val="1003"/>
        </w:numPr>
      </w:pPr>
      <w:r>
        <w:t xml:space="preserve">whether management continues to characterize recruiting costs as elevated but high-return growth investment.</w:t>
      </w:r>
    </w:p>
    <w:bookmarkEnd w:id="13"/>
    <w:bookmarkStart w:id="14" w:name="X170c58d4c8a22e2ae6a3b71c6a838bf0d56081c"/>
    <w:p>
      <w:pPr>
        <w:pStyle w:val="Heading3"/>
      </w:pPr>
      <w:r>
        <w:t xml:space="preserve">3. Capital Markets: the largest earnings variable</w:t>
      </w:r>
    </w:p>
    <w:p>
      <w:pPr>
        <w:pStyle w:val="FirstParagraph"/>
      </w:pPr>
      <w:r>
        <w:t xml:space="preserve">Capital Markets rebounded sharply in fiscal 2Q: net revenue rose 22% sequentially to $464 million, and investment-banking revenue increased 36% sequentially to $272 million. Debt and equity underwriting, M&amp;A/advisory, and fixed-income brokerage all improved.</w:t>
      </w:r>
    </w:p>
    <w:p>
      <w:pPr>
        <w:pStyle w:val="BodyText"/>
      </w:pPr>
      <w:r>
        <w:t xml:space="preserve">Management entered fiscal 3Q with a “robust” investment-banking pipeline, citing motivated financial-sponsor buyers and sellers. At the same time, its May operating-data release contained an important caveat: client activity and pipelines remained strong, but</w:t>
      </w:r>
      <w:r>
        <w:t xml:space="preserve"> </w:t>
      </w:r>
      <w:r>
        <w:rPr>
          <w:b/>
          <w:bCs/>
        </w:rPr>
        <w:t xml:space="preserve">the timing of closings was uncertain</w:t>
      </w:r>
      <w:r>
        <w:t xml:space="preserve">.</w:t>
      </w:r>
    </w:p>
    <w:p>
      <w:pPr>
        <w:pStyle w:val="BodyText"/>
      </w:pPr>
      <w:r>
        <w:t xml:space="preserve">That framing makes this segment the most consequential swing factor for the quarter. A strong conversion of announced pipeline into closed advisory and underwriting revenue could drive an outsized earnings beat and margin improvement. Conversely, deferred closings would not necessarily damage the medium-term thesis, but could limit the near-term upside.</w:t>
      </w:r>
    </w:p>
    <w:p>
      <w:pPr>
        <w:pStyle w:val="BodyText"/>
      </w:pPr>
      <w:r>
        <w:rPr>
          <w:b/>
          <w:bCs/>
        </w:rPr>
        <w:t xml:space="preserve">Watch:</w:t>
      </w:r>
    </w:p>
    <w:p>
      <w:pPr>
        <w:pStyle w:val="Compact"/>
        <w:numPr>
          <w:ilvl w:val="0"/>
          <w:numId w:val="1004"/>
        </w:numPr>
      </w:pPr>
      <w:r>
        <w:t xml:space="preserve">Investment-banking revenue versus fiscal 2Q’s $279 million consolidated level;</w:t>
      </w:r>
    </w:p>
    <w:p>
      <w:pPr>
        <w:pStyle w:val="Compact"/>
        <w:numPr>
          <w:ilvl w:val="0"/>
          <w:numId w:val="1004"/>
        </w:numPr>
      </w:pPr>
      <w:r>
        <w:t xml:space="preserve">M&amp;A/advisory fees and debt/equity underwriting;</w:t>
      </w:r>
    </w:p>
    <w:p>
      <w:pPr>
        <w:pStyle w:val="Compact"/>
        <w:numPr>
          <w:ilvl w:val="0"/>
          <w:numId w:val="1004"/>
        </w:numPr>
      </w:pPr>
      <w:r>
        <w:t xml:space="preserve">Capital Markets pre-tax margin;</w:t>
      </w:r>
    </w:p>
    <w:p>
      <w:pPr>
        <w:pStyle w:val="Compact"/>
        <w:numPr>
          <w:ilvl w:val="0"/>
          <w:numId w:val="1004"/>
        </w:numPr>
      </w:pPr>
      <w:r>
        <w:t xml:space="preserve">commentary on sponsor activity, ECM issuance, financing conditions, and second-half closing visibility;</w:t>
      </w:r>
    </w:p>
    <w:p>
      <w:pPr>
        <w:pStyle w:val="Compact"/>
        <w:numPr>
          <w:ilvl w:val="0"/>
          <w:numId w:val="1004"/>
        </w:numPr>
      </w:pPr>
      <w:r>
        <w:t xml:space="preserve">early contribution from GreensLedge, acquired to deepen securitization origination and placement capabilities.</w:t>
      </w:r>
    </w:p>
    <w:bookmarkEnd w:id="14"/>
    <w:bookmarkStart w:id="15" w:name="X6b1c5e517737bd45270fad923eddb320eb7434c"/>
    <w:p>
      <w:pPr>
        <w:pStyle w:val="Heading3"/>
      </w:pPr>
      <w:r>
        <w:t xml:space="preserve">4. Banking: stable credit, but less balance-sheet growth</w:t>
      </w:r>
    </w:p>
    <w:p>
      <w:pPr>
        <w:pStyle w:val="FirstParagraph"/>
      </w:pPr>
      <w:r>
        <w:t xml:space="preserve">The Bank segment produced fiscal 2Q pre-tax income of $166 million, up 42% year over year, supported by loan growth, lower funding costs, and a 2.81% net-interest margin. Credit quality was solid: nonperforming assets were 0.27% of bank assets and the allowance was 0.80% of loans held for investment.</w:t>
      </w:r>
    </w:p>
    <w:p>
      <w:pPr>
        <w:pStyle w:val="BodyText"/>
      </w:pPr>
      <w:r>
        <w:t xml:space="preserve">For fiscal 3Q, loan growth appears to have slowed. May bank loans were $55.3 billion, only modestly above March’s $54.8 billion, as securities-based-loan and residential-mortgage growth offset lower corporate loans. Meanwhile, sweep-plus-ESP balances of $55.8 billion were down from $57.8 billion at March-end, though roughly flat sequentially in May.</w:t>
      </w:r>
    </w:p>
    <w:p>
      <w:pPr>
        <w:pStyle w:val="BodyText"/>
      </w:pPr>
      <w:r>
        <w:t xml:space="preserve">Management’s fiscal 2Q guide called for aggregate net interest income plus third-party-bank sweep fees to rise roughly 1% sequentially under static rates and balances. The quarter therefore hinges on loan mix, funding costs, rate sensitivity, and whether cash balances held up into June.</w:t>
      </w:r>
    </w:p>
    <w:p>
      <w:pPr>
        <w:pStyle w:val="BodyText"/>
      </w:pPr>
      <w:r>
        <w:rPr>
          <w:b/>
          <w:bCs/>
        </w:rPr>
        <w:t xml:space="preserve">Watch:</w:t>
      </w:r>
    </w:p>
    <w:p>
      <w:pPr>
        <w:pStyle w:val="Compact"/>
        <w:numPr>
          <w:ilvl w:val="0"/>
          <w:numId w:val="1005"/>
        </w:numPr>
      </w:pPr>
      <w:r>
        <w:t xml:space="preserve">Bank NIM versus 2.81% in fiscal 2Q;</w:t>
      </w:r>
    </w:p>
    <w:p>
      <w:pPr>
        <w:pStyle w:val="Compact"/>
        <w:numPr>
          <w:ilvl w:val="0"/>
          <w:numId w:val="1005"/>
        </w:numPr>
      </w:pPr>
      <w:r>
        <w:t xml:space="preserve">securities-based-loan growth;</w:t>
      </w:r>
    </w:p>
    <w:p>
      <w:pPr>
        <w:pStyle w:val="Compact"/>
        <w:numPr>
          <w:ilvl w:val="0"/>
          <w:numId w:val="1005"/>
        </w:numPr>
      </w:pPr>
      <w:r>
        <w:t xml:space="preserve">deposit and ESP growth;</w:t>
      </w:r>
    </w:p>
    <w:p>
      <w:pPr>
        <w:pStyle w:val="Compact"/>
        <w:numPr>
          <w:ilvl w:val="0"/>
          <w:numId w:val="1005"/>
        </w:numPr>
      </w:pPr>
      <w:r>
        <w:t xml:space="preserve">corporate-loan trends;</w:t>
      </w:r>
    </w:p>
    <w:p>
      <w:pPr>
        <w:pStyle w:val="Compact"/>
        <w:numPr>
          <w:ilvl w:val="0"/>
          <w:numId w:val="1005"/>
        </w:numPr>
      </w:pPr>
      <w:r>
        <w:t xml:space="preserve">provision expense, criticized loans, charge-offs, and nonperforming assets.</w:t>
      </w:r>
    </w:p>
    <w:bookmarkEnd w:id="15"/>
    <w:bookmarkStart w:id="16" w:name="X6924c27b0a96662e02cfaca50388bc371a88b96"/>
    <w:p>
      <w:pPr>
        <w:pStyle w:val="Heading3"/>
      </w:pPr>
      <w:r>
        <w:t xml:space="preserve">5. Margin, expenses, and the credibility of the 20% framework</w:t>
      </w:r>
    </w:p>
    <w:p>
      <w:pPr>
        <w:pStyle w:val="FirstParagraph"/>
      </w:pPr>
      <w:r>
        <w:t xml:space="preserve">Fiscal 2Q adjusted pre-tax margin was 19.7%, and the first-half adjusted margin was 19.9%. At its May investor day, RJF reaffirmed an approximately 20% adjusted pre-tax-margin target, an adjusted compensation ratio of roughly 65%, and adjusted ROTCE of at least 20%, subject to market and rate assumptions.</w:t>
      </w:r>
    </w:p>
    <w:p>
      <w:pPr>
        <w:pStyle w:val="BodyText"/>
      </w:pPr>
      <w:r>
        <w:t xml:space="preserve">The firm has been explicit that strong recruiting makes reported margins look less favorable in the short term because organic recruiting costs are expensed immediately. Management argues that similar costs incurred through acquisition would often be excluded from non-GAAP results. Regardless of accounting presentation, investors will focus on whether revenue growth is beginning to outrun those investments.</w:t>
      </w:r>
    </w:p>
    <w:p>
      <w:pPr>
        <w:pStyle w:val="BodyText"/>
      </w:pPr>
      <w:r>
        <w:rPr>
          <w:b/>
          <w:bCs/>
        </w:rPr>
        <w:t xml:space="preserve">A constructive outcome:</w:t>
      </w:r>
      <w:r>
        <w:t xml:space="preserve"> </w:t>
      </w:r>
      <w:r>
        <w:t xml:space="preserve">fee-revenue growth and capital-markets conversion lift the adjusted margin above 20%, while management maintains its spending discipline.</w:t>
      </w:r>
    </w:p>
    <w:p>
      <w:pPr>
        <w:pStyle w:val="BodyText"/>
      </w:pPr>
      <w:r>
        <w:rPr>
          <w:b/>
          <w:bCs/>
        </w:rPr>
        <w:t xml:space="preserve">A weaker outcome:</w:t>
      </w:r>
      <w:r>
        <w:t xml:space="preserve"> </w:t>
      </w:r>
      <w:r>
        <w:t xml:space="preserve">recurring-fee growth is solid but higher compensation, recruiting, technology, and acquisition-related costs absorb the upside, leaving margins stuck below the target range.</w:t>
      </w:r>
    </w:p>
    <w:bookmarkEnd w:id="16"/>
    <w:bookmarkEnd w:id="17"/>
    <w:bookmarkStart w:id="18" w:name="X3b6fcb98c8d22c0324e7f18f2e8570ffbc4758f"/>
    <w:p>
      <w:pPr>
        <w:pStyle w:val="Heading2"/>
      </w:pPr>
      <w:r>
        <w:t xml:space="preserve">Capital deployment and strategic optionality</w:t>
      </w:r>
    </w:p>
    <w:p>
      <w:pPr>
        <w:pStyle w:val="FirstParagraph"/>
      </w:pPr>
      <w:r>
        <w:t xml:space="preserve">RJF retains substantial financial flexibility. As of March 31, it had $3.0 billion of parent-company cash, $1.5 billion remaining on its repurchase authorization, and capital ratios well above management’s conservative targets. The company repurchased $400 million of stock in fiscal 2Q at an average price of $155 per share.</w:t>
      </w:r>
    </w:p>
    <w:p>
      <w:pPr>
        <w:pStyle w:val="BodyText"/>
      </w:pPr>
      <w:r>
        <w:t xml:space="preserve">The earnings call may provide an update on the balance among:</w:t>
      </w:r>
    </w:p>
    <w:p>
      <w:pPr>
        <w:pStyle w:val="Compact"/>
        <w:numPr>
          <w:ilvl w:val="0"/>
          <w:numId w:val="1006"/>
        </w:numPr>
      </w:pPr>
      <w:r>
        <w:t xml:space="preserve">continued adviser recruiting and practice-capital funding;</w:t>
      </w:r>
    </w:p>
    <w:p>
      <w:pPr>
        <w:pStyle w:val="Compact"/>
        <w:numPr>
          <w:ilvl w:val="0"/>
          <w:numId w:val="1006"/>
        </w:numPr>
      </w:pPr>
      <w:r>
        <w:t xml:space="preserve">share repurchases;</w:t>
      </w:r>
    </w:p>
    <w:p>
      <w:pPr>
        <w:pStyle w:val="Compact"/>
        <w:numPr>
          <w:ilvl w:val="0"/>
          <w:numId w:val="1006"/>
        </w:numPr>
      </w:pPr>
      <w:r>
        <w:t xml:space="preserve">bolt-on acquisitions;</w:t>
      </w:r>
    </w:p>
    <w:p>
      <w:pPr>
        <w:pStyle w:val="Compact"/>
        <w:numPr>
          <w:ilvl w:val="0"/>
          <w:numId w:val="1006"/>
        </w:numPr>
      </w:pPr>
      <w:r>
        <w:t xml:space="preserve">larger wealth-management or capital-markets M&amp;A possibilities.</w:t>
      </w:r>
    </w:p>
    <w:p>
      <w:pPr>
        <w:pStyle w:val="FirstParagraph"/>
      </w:pPr>
      <w:r>
        <w:t xml:space="preserve">Management has emphasized that acquisitions must clear cultural, strategic, and financial-return hurdles. Thus, excess capital is a source of optionality rather than a near-term commitment to a large transaction.</w:t>
      </w:r>
    </w:p>
    <w:bookmarkEnd w:id="18"/>
    <w:bookmarkStart w:id="19" w:name="bull-case-into-the-print"/>
    <w:p>
      <w:pPr>
        <w:pStyle w:val="Heading2"/>
      </w:pPr>
      <w:r>
        <w:t xml:space="preserve">Bull case into the print</w:t>
      </w:r>
    </w:p>
    <w:p>
      <w:pPr>
        <w:pStyle w:val="Compact"/>
        <w:numPr>
          <w:ilvl w:val="0"/>
          <w:numId w:val="1007"/>
        </w:numPr>
      </w:pPr>
      <w:r>
        <w:t xml:space="preserve">Higher equity markets and fee-based assets produce a stronger-than-guided asset-management-fee quarter.</w:t>
      </w:r>
    </w:p>
    <w:p>
      <w:pPr>
        <w:pStyle w:val="Compact"/>
        <w:numPr>
          <w:ilvl w:val="0"/>
          <w:numId w:val="1007"/>
        </w:numPr>
      </w:pPr>
      <w:r>
        <w:t xml:space="preserve">Net new assets and recruiting remain above industry-level growth rates.</w:t>
      </w:r>
    </w:p>
    <w:p>
      <w:pPr>
        <w:pStyle w:val="Compact"/>
        <w:numPr>
          <w:ilvl w:val="0"/>
          <w:numId w:val="1007"/>
        </w:numPr>
      </w:pPr>
      <w:r>
        <w:t xml:space="preserve">Investment-banking closings convert robust pipeline into a meaningful Capital Markets upside surprise.</w:t>
      </w:r>
    </w:p>
    <w:p>
      <w:pPr>
        <w:pStyle w:val="Compact"/>
        <w:numPr>
          <w:ilvl w:val="0"/>
          <w:numId w:val="1007"/>
        </w:numPr>
      </w:pPr>
      <w:r>
        <w:t xml:space="preserve">Bank NIM and credit remain resilient despite lower cash balances.</w:t>
      </w:r>
    </w:p>
    <w:p>
      <w:pPr>
        <w:pStyle w:val="Compact"/>
        <w:numPr>
          <w:ilvl w:val="0"/>
          <w:numId w:val="1007"/>
        </w:numPr>
      </w:pPr>
      <w:r>
        <w:t xml:space="preserve">Margin exceeds 20% as revenue growth absorbs growth-investment costs.</w:t>
      </w:r>
    </w:p>
    <w:p>
      <w:pPr>
        <w:pStyle w:val="Compact"/>
        <w:numPr>
          <w:ilvl w:val="0"/>
          <w:numId w:val="1007"/>
        </w:numPr>
      </w:pPr>
      <w:r>
        <w:t xml:space="preserve">Management’s commentary supports a stronger fiscal 4Q setup.</w:t>
      </w:r>
    </w:p>
    <w:bookmarkEnd w:id="19"/>
    <w:bookmarkStart w:id="20" w:name="bear-case-into-the-print"/>
    <w:p>
      <w:pPr>
        <w:pStyle w:val="Heading2"/>
      </w:pPr>
      <w:r>
        <w:t xml:space="preserve">Bear case into the print</w:t>
      </w:r>
    </w:p>
    <w:p>
      <w:pPr>
        <w:pStyle w:val="Compact"/>
        <w:numPr>
          <w:ilvl w:val="0"/>
          <w:numId w:val="1008"/>
        </w:numPr>
      </w:pPr>
      <w:r>
        <w:t xml:space="preserve">Strong May asset values do not fully flow into recognized fee revenues due to billing timing or weaker June markets.</w:t>
      </w:r>
    </w:p>
    <w:p>
      <w:pPr>
        <w:pStyle w:val="Compact"/>
        <w:numPr>
          <w:ilvl w:val="0"/>
          <w:numId w:val="1008"/>
        </w:numPr>
      </w:pPr>
      <w:r>
        <w:t xml:space="preserve">Investment-banking transactions slip, keeping Capital Markets profitability subdued.</w:t>
      </w:r>
    </w:p>
    <w:p>
      <w:pPr>
        <w:pStyle w:val="Compact"/>
        <w:numPr>
          <w:ilvl w:val="0"/>
          <w:numId w:val="1008"/>
        </w:numPr>
      </w:pPr>
      <w:r>
        <w:t xml:space="preserve">Lower sweep balances and slower loan growth pressure net-interest-related revenue.</w:t>
      </w:r>
    </w:p>
    <w:p>
      <w:pPr>
        <w:pStyle w:val="Compact"/>
        <w:numPr>
          <w:ilvl w:val="0"/>
          <w:numId w:val="1008"/>
        </w:numPr>
      </w:pPr>
      <w:r>
        <w:t xml:space="preserve">Elevated adviser payouts, recruiting costs, and technology spending limit operating leverage.</w:t>
      </w:r>
    </w:p>
    <w:p>
      <w:pPr>
        <w:pStyle w:val="Compact"/>
        <w:numPr>
          <w:ilvl w:val="0"/>
          <w:numId w:val="1008"/>
        </w:numPr>
      </w:pPr>
      <w:r>
        <w:t xml:space="preserve">Management reiterates strong long-term recruiting returns but offers limited near-term margin expansion.</w:t>
      </w:r>
    </w:p>
    <w:bookmarkEnd w:id="20"/>
    <w:bookmarkStart w:id="21" w:name="investor-checklist-for-the-call"/>
    <w:p>
      <w:pPr>
        <w:pStyle w:val="Heading2"/>
      </w:pPr>
      <w:r>
        <w:t xml:space="preserve">Investor checklist for the call</w:t>
      </w:r>
    </w:p>
    <w:p>
      <w:pPr>
        <w:pStyle w:val="Compact"/>
        <w:numPr>
          <w:ilvl w:val="0"/>
          <w:numId w:val="1009"/>
        </w:numPr>
      </w:pPr>
      <w:r>
        <w:rPr>
          <w:b/>
          <w:bCs/>
        </w:rPr>
        <w:t xml:space="preserve">Did PCG fee-based assets and asset-management fees exceed the prior 1% sequential-growth framework?</w:t>
      </w:r>
    </w:p>
    <w:p>
      <w:pPr>
        <w:pStyle w:val="Compact"/>
        <w:numPr>
          <w:ilvl w:val="0"/>
          <w:numId w:val="1009"/>
        </w:numPr>
      </w:pPr>
      <w:r>
        <w:rPr>
          <w:b/>
          <w:bCs/>
        </w:rPr>
        <w:t xml:space="preserve">What were domestic PCG net new assets, adviser recruitment, and retention in the quarter?</w:t>
      </w:r>
    </w:p>
    <w:p>
      <w:pPr>
        <w:pStyle w:val="Compact"/>
        <w:numPr>
          <w:ilvl w:val="0"/>
          <w:numId w:val="1009"/>
        </w:numPr>
      </w:pPr>
      <w:r>
        <w:rPr>
          <w:b/>
          <w:bCs/>
        </w:rPr>
        <w:t xml:space="preserve">How much investment-banking pipeline converted to closed revenue, and what does that imply for fiscal 4Q?</w:t>
      </w:r>
    </w:p>
    <w:p>
      <w:pPr>
        <w:pStyle w:val="Compact"/>
        <w:numPr>
          <w:ilvl w:val="0"/>
          <w:numId w:val="1009"/>
        </w:numPr>
      </w:pPr>
      <w:r>
        <w:rPr>
          <w:b/>
          <w:bCs/>
        </w:rPr>
        <w:t xml:space="preserve">Where did Bank NIM, deposits, sweep balances, and securities-based loans finish June?</w:t>
      </w:r>
    </w:p>
    <w:p>
      <w:pPr>
        <w:pStyle w:val="Compact"/>
        <w:numPr>
          <w:ilvl w:val="0"/>
          <w:numId w:val="1009"/>
        </w:numPr>
      </w:pPr>
      <w:r>
        <w:rPr>
          <w:b/>
          <w:bCs/>
        </w:rPr>
        <w:t xml:space="preserve">Are recruiting and technology investments still rising faster than the revenue they support?</w:t>
      </w:r>
    </w:p>
    <w:p>
      <w:pPr>
        <w:pStyle w:val="Compact"/>
        <w:numPr>
          <w:ilvl w:val="0"/>
          <w:numId w:val="1009"/>
        </w:numPr>
      </w:pPr>
      <w:r>
        <w:rPr>
          <w:b/>
          <w:bCs/>
        </w:rPr>
        <w:t xml:space="preserve">Is RJF sustaining—or improving upon—its ~20% adjusted pre-tax-margin outlook?</w:t>
      </w:r>
    </w:p>
    <w:p>
      <w:pPr>
        <w:pStyle w:val="Compact"/>
        <w:numPr>
          <w:ilvl w:val="0"/>
          <w:numId w:val="1009"/>
        </w:numPr>
      </w:pPr>
      <w:r>
        <w:rPr>
          <w:b/>
          <w:bCs/>
        </w:rPr>
        <w:t xml:space="preserve">What are the contributions and integration updates for Clark Capital and GreensLedge?</w:t>
      </w:r>
    </w:p>
    <w:p>
      <w:pPr>
        <w:pStyle w:val="Compact"/>
        <w:numPr>
          <w:ilvl w:val="0"/>
          <w:numId w:val="1009"/>
        </w:numPr>
      </w:pPr>
      <w:r>
        <w:rPr>
          <w:b/>
          <w:bCs/>
        </w:rPr>
        <w:t xml:space="preserve">Has the firm’s capital-return posture changed after the stock’s advance and continued organic-growth investment needs?</w:t>
      </w:r>
    </w:p>
    <w:bookmarkEnd w:id="21"/>
    <w:bookmarkStart w:id="22" w:name="preview-conclusion"/>
    <w:p>
      <w:pPr>
        <w:pStyle w:val="Heading2"/>
      </w:pPr>
      <w:r>
        <w:t xml:space="preserve">Preview conclusion</w:t>
      </w:r>
    </w:p>
    <w:p>
      <w:pPr>
        <w:pStyle w:val="FirstParagraph"/>
      </w:pPr>
      <w:r>
        <w:t xml:space="preserve">RJF appears positioned for a fundamentally solid fiscal 3Q, led by wealth-management fee growth and a much larger client-asset base. The report’s market impact will likely depend on the degree of Capital Markets conversion and whether the company can demonstrate operating leverage despite deliberately elevated recruiting and technology investments.</w:t>
      </w:r>
    </w:p>
    <w:p>
      <w:pPr>
        <w:pStyle w:val="BodyText"/>
      </w:pPr>
      <w:r>
        <w:t xml:space="preserve">In short:</w:t>
      </w:r>
      <w:r>
        <w:t xml:space="preserve"> </w:t>
      </w:r>
      <w:r>
        <w:rPr>
          <w:b/>
          <w:bCs/>
        </w:rPr>
        <w:t xml:space="preserve">the asset-led revenue setup looks favorable; the debate is whether earnings and margins now catch up.</w:t>
      </w:r>
    </w:p>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2026-07-22T00:41:06Z</dcterms:created>
  <dcterms:modified xsi:type="dcterms:W3CDTF">2026-07-22T00:41:06Z</dcterms:modified>
</cp:coreProperties>
</file>

<file path=docProps/custom.xml><?xml version="1.0" encoding="utf-8"?>
<Properties xmlns="http://schemas.openxmlformats.org/officeDocument/2006/custom-properties" xmlns:vt="http://schemas.openxmlformats.org/officeDocument/2006/docPropsVTypes"/>
</file>