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jf-earnings-predictions--2026-07-22"/>
    <w:p>
      <w:pPr>
        <w:pStyle w:val="Heading1"/>
      </w:pPr>
      <w:r>
        <w:t xml:space="preserve">RJF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RJF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~$2.95 vs. cons $2.89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RJF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~$3.93B vs. cons $3.875B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RJF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PCG net new assets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~$22.0B vs. cons $19.47B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RJF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Asset-management fees (3Q FY26)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prior guide +~1% QoQ; expected achieve/exceed; report-period cons $2.060B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RJF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NII + RJBDP fees (3Q FY26)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prior guide +~1% QoQ; no like-for-like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RJF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non-compensation expense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prior guide ~$2.3B under company-adjusted definition; no like-for-like consensus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RJF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Capital-markets outlook (4Q 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constructive pipeline; 4Q IB cons $297M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RJF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RJF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+0.0% (STABILIZE)</w:t>
            </w:r>
          </w:p>
        </w:tc>
        <w:tc>
          <w:tcPr/>
          <w:p>
            <w:pPr>
              <w:pStyle w:val="Compact"/>
            </w:pPr>
            <w:r>
              <w:t xml:space="preserve">STABILIZE — elevated pre-print bar caps follow-through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2026-07-24T22:26:16Z</dcterms:created>
  <dcterms:modified xsi:type="dcterms:W3CDTF">2026-07-24T22:26:16Z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