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ROL (Rollins Inc.) before writing the preview. Let me gather recent earnings materials, news, and price data.ROL has seen a dramatic decline — from ~</w:t>
      </w:r>
      <m:oMath>
        <m:r>
          <m:t>65</m:t>
        </m:r>
        <m:r>
          <m:t>i</m:t>
        </m:r>
        <m:r>
          <m:t>n</m:t>
        </m:r>
        <m:r>
          <m:t>F</m:t>
        </m:r>
        <m:r>
          <m:t>e</m:t>
        </m:r>
        <m:r>
          <m:t>b</m:t>
        </m:r>
        <m:r>
          <m:t>2026</m:t>
        </m:r>
        <m:r>
          <m:t>t</m:t>
        </m:r>
        <m:r>
          <m:t>o</m:t>
        </m:r>
        <m:r>
          <m:t> </m:t>
        </m:r>
      </m:oMath>
      <w:r>
        <w:t xml:space="preserve">44 now, with a sharp drop in late May/early June 2026. Let me investigate what happened and read the most recent earnings materials.The stock's steep decline coincides with a surprise CFO transition announced May 27, 2026. Let me dig into that and the Q1 call, plus look for any other news driving the sell-off.The CFO transition alone seems insufficient to explain a ~20% drop. Let me read the Q1 2026 earnings call for guidance/margin themes and the year-ago Q2 2025 release for comparison, plus check recent news and sector context.Let me check recent news sentiment and whether there was an Investor Day (May 14) that may have affected the stock, plus get the latest 2-week news digest.ROL-specific news is quiet right now. Let me do a quick web search for current analyst sentiment, consensus estimates, and context on the sharp decline, then compute key setup metrics.# Rollins, Inc. (ROL) — Q2 2026 Earnings Preview</w:t>
      </w:r>
    </w:p>
    <w:bookmarkStart w:id="9" w:name="X792886140428dbe0868208e75d2e5827c944b48"/>
    <w:p>
      <w:pPr>
        <w:pStyle w:val="Heading3"/>
      </w:pPr>
      <w:r>
        <w:t xml:space="preserve">Report expected before market open, Wednesday, July 22, 2026 | Q2 2026 Earnings Call</w:t>
      </w:r>
    </w:p>
    <w:p>
      <w:r>
        <w:pict>
          <v:rect style="width:0;height:1.5pt" o:hralign="center" o:hrstd="t" o:hr="t"/>
        </w:pict>
      </w:r>
    </w:p>
    <w:bookmarkEnd w:id="9"/>
    <w:bookmarkStart w:id="10" w:name="the-one-line-setup"/>
    <w:p>
      <w:pPr>
        <w:pStyle w:val="Heading2"/>
      </w:pPr>
      <w:r>
        <w:t xml:space="preserve">The one-line setup</w:t>
      </w:r>
    </w:p>
    <w:p>
      <w:pPr>
        <w:pStyle w:val="FirstParagraph"/>
      </w:pPr>
      <w:r>
        <w:t xml:space="preserve">A high-quality, defensive compounder that has gotten hit hard. ROL enters this print down roughly</w:t>
      </w:r>
      <w:r>
        <w:t xml:space="preserve"> </w:t>
      </w:r>
      <w:r>
        <w:rPr>
          <w:b/>
          <w:bCs/>
        </w:rPr>
        <w:t xml:space="preserve">26% year-to-date and ~33% off its February high (~</w:t>
      </w:r>
      <m:oMath>
        <m:r>
          <m:t>65.60</m:t>
        </m:r>
        <m:r>
          <m:rPr>
            <m:sty m:val="p"/>
          </m:rPr>
          <m:t>)</m:t>
        </m:r>
        <m:r>
          <m:rPr>
            <m:sty m:val="p"/>
          </m:rPr>
          <m:t>*</m:t>
        </m:r>
        <m:r>
          <m:rPr>
            <m:sty m:val="p"/>
          </m:rPr>
          <m:t>*</m:t>
        </m:r>
        <m:r>
          <m:rPr>
            <m:sty m:val="p"/>
          </m:rPr>
          <m:t>,</m:t>
        </m:r>
        <m:r>
          <m:t>c</m:t>
        </m:r>
        <m:r>
          <m:t>l</m:t>
        </m:r>
        <m:r>
          <m:t>o</m:t>
        </m:r>
        <m:r>
          <m:t>s</m:t>
        </m:r>
        <m:r>
          <m:t>i</m:t>
        </m:r>
        <m:r>
          <m:t>n</m:t>
        </m:r>
        <m:r>
          <m:t>g</m:t>
        </m:r>
        <m:r>
          <m:t>a</m:t>
        </m:r>
        <m:r>
          <m:t>t</m:t>
        </m:r>
        <m:r>
          <m:rPr>
            <m:sty m:val="p"/>
          </m:rPr>
          <m:t>*</m:t>
        </m:r>
        <m:r>
          <m:rPr>
            <m:sty m:val="p"/>
          </m:rPr>
          <m:t>*</m:t>
        </m:r>
      </m:oMath>
      <w:r>
        <w:rPr>
          <w:b/>
          <w:bCs/>
        </w:rPr>
        <w:t xml:space="preserve">43.87 on July 21</w:t>
      </w:r>
      <w:r>
        <w:t xml:space="preserve">, versus an S&amp;P 500 that has continued to grind higher. The stock has meaningfully de-rated — unusual for a recession-resilient pest control name that historically trades at a premium multiple — so this quarter is less about a modest beat/miss and more about whether the growth-and-margin story is still intact under a</w:t>
      </w:r>
      <w:r>
        <w:t xml:space="preserve"> </w:t>
      </w:r>
      <w:r>
        <w:rPr>
          <w:b/>
          <w:bCs/>
        </w:rPr>
        <w:t xml:space="preserve">brand-new CFO</w:t>
      </w:r>
      <w:r>
        <w:t xml:space="preserve">.</w:t>
      </w:r>
    </w:p>
    <w:p>
      <w:r>
        <w:pict>
          <v:rect style="width:0;height:1.5pt" o:hralign="center" o:hrstd="t" o:hr="t"/>
        </w:pict>
      </w:r>
    </w:p>
    <w:bookmarkEnd w:id="10"/>
    <w:bookmarkStart w:id="11" w:name="why-the-stock-has-been-under-pressure"/>
    <w:p>
      <w:pPr>
        <w:pStyle w:val="Heading2"/>
      </w:pPr>
      <w:r>
        <w:t xml:space="preserve">Why the stock has been under pressure</w:t>
      </w:r>
    </w:p>
    <w:p>
      <w:pPr>
        <w:pStyle w:val="FirstParagraph"/>
      </w:pPr>
      <w:r>
        <w:t xml:space="preserve">Two things collided:</w:t>
      </w:r>
    </w:p>
    <w:p>
      <w:pPr>
        <w:numPr>
          <w:ilvl w:val="0"/>
          <w:numId w:val="1001"/>
        </w:numPr>
      </w:pPr>
      <w:r>
        <w:rPr>
          <w:b/>
          <w:bCs/>
        </w:rPr>
        <w:t xml:space="preserve">A surprise CFO departure.</w:t>
      </w:r>
      <w:r>
        <w:t xml:space="preserve"> </w:t>
      </w:r>
      <w:r>
        <w:t xml:space="preserve">On May 27, 2026, Rollins announced that</w:t>
      </w:r>
      <w:r>
        <w:t xml:space="preserve"> </w:t>
      </w:r>
      <w:r>
        <w:rPr>
          <w:b/>
          <w:bCs/>
        </w:rPr>
        <w:t xml:space="preserve">Kenneth Krause — EVP &amp; CFO since 2022 — would resign effective June 15 to pursue an opportunity in an unrelated industry</w:t>
      </w:r>
      <w:r>
        <w:t xml:space="preserve">, with</w:t>
      </w:r>
      <w:r>
        <w:t xml:space="preserve"> </w:t>
      </w:r>
      <w:r>
        <w:rPr>
          <w:b/>
          <w:bCs/>
        </w:rPr>
        <w:t xml:space="preserve">William Harkins</w:t>
      </w:r>
      <w:r>
        <w:t xml:space="preserve"> </w:t>
      </w:r>
      <w:r>
        <w:t xml:space="preserve">(who joined as Chief Accounting Officer in March 2025, prior CAO/Controller at Mohawk Industries) stepping up as CFO. Krause was widely credited with modernizing the finance function, optimizing the capital structure, improving investor transparency, and helping grow market cap ~50%+ since 2022. The stock fell on the news and kept sliding — down ~17.5% from the day before the announcement to today.</w:t>
      </w:r>
    </w:p>
    <w:p>
      <w:pPr>
        <w:numPr>
          <w:ilvl w:val="0"/>
          <w:numId w:val="1001"/>
        </w:numPr>
      </w:pPr>
      <w:r>
        <w:rPr>
          <w:b/>
          <w:bCs/>
        </w:rPr>
        <w:t xml:space="preserve">A multiple de-rate on a "richly-priced defensive."</w:t>
      </w:r>
      <w:r>
        <w:t xml:space="preserve"> </w:t>
      </w:r>
      <w:r>
        <w:t xml:space="preserve">The bulk of the decline actually built through 1H 2026 as expensive quality/defensive names came out of favor while the broad market rose. Even after the drop, ROL still trades around ~40x trailing adjusted EPS — expensive in absolute terms, but well below the ~55–60x it commanded at the February peak.</w:t>
      </w:r>
    </w:p>
    <w:p>
      <w:pPr>
        <w:pStyle w:val="FirstParagraph"/>
      </w:pPr>
      <w:r>
        <w:rPr>
          <w:b/>
          <w:bCs/>
        </w:rPr>
        <w:t xml:space="preserve">Bottom line:</w:t>
      </w:r>
      <w:r>
        <w:t xml:space="preserve"> </w:t>
      </w:r>
      <w:r>
        <w:t xml:space="preserve">Wednesday is the first full quarter narrated by a new CFO into a skeptical tape. Continuity of guidance, tone, and credibility matter as much as the numbers.</w:t>
      </w:r>
    </w:p>
    <w:p>
      <w:r>
        <w:pict>
          <v:rect style="width:0;height:1.5pt" o:hralign="center" o:hrstd="t" o:hr="t"/>
        </w:pict>
      </w:r>
    </w:p>
    <w:bookmarkEnd w:id="11"/>
    <w:bookmarkStart w:id="12" w:name="X46908320174815a8736e917625306503055104f"/>
    <w:p>
      <w:pPr>
        <w:pStyle w:val="Heading2"/>
      </w:pPr>
      <w:r>
        <w:t xml:space="preserve">What to watch #1 — Organic growth trajectory</w:t>
      </w:r>
    </w:p>
    <w:p>
      <w:pPr>
        <w:pStyle w:val="FirstParagraph"/>
      </w:pPr>
      <w:r>
        <w:t xml:space="preserve">This is the single most important line. Management has repeatedly reaffirmed a</w:t>
      </w:r>
      <w:r>
        <w:t xml:space="preserve"> </w:t>
      </w:r>
      <w:r>
        <w:rPr>
          <w:b/>
          <w:bCs/>
        </w:rPr>
        <w:t xml:space="preserve">full-year framework of 7–8% organic growth plus 2–3% from M&amp;A</w:t>
      </w:r>
      <w:r>
        <w:t xml:space="preserve">.</w:t>
      </w:r>
    </w:p>
    <w:p>
      <w:pPr>
        <w:pStyle w:val="Compact"/>
        <w:numPr>
          <w:ilvl w:val="0"/>
          <w:numId w:val="1002"/>
        </w:numPr>
      </w:pPr>
      <w:r>
        <w:rPr>
          <w:b/>
          <w:bCs/>
        </w:rPr>
        <w:t xml:space="preserve">Q1 2026 context:</w:t>
      </w:r>
      <w:r>
        <w:t xml:space="preserve"> </w:t>
      </w:r>
      <w:r>
        <w:t xml:space="preserve">Total revenue grew 10.2% to $906M with organic +6.6%, held back by unfavorable January weather — but the quarter</w:t>
      </w:r>
      <w:r>
        <w:t xml:space="preserve"> </w:t>
      </w:r>
      <w:r>
        <w:rPr>
          <w:i/>
          <w:iCs/>
        </w:rPr>
        <w:t xml:space="preserve">exited strong</w:t>
      </w:r>
      <w:r>
        <w:t xml:space="preserve">, with management citing</w:t>
      </w:r>
      <w:r>
        <w:t xml:space="preserve"> </w:t>
      </w:r>
      <w:r>
        <w:rPr>
          <w:b/>
          <w:bCs/>
        </w:rPr>
        <w:t xml:space="preserve">~12% total and &gt;8% organic growth in March</w:t>
      </w:r>
      <w:r>
        <w:t xml:space="preserve">, and residential organic accelerating to ~7% in March. They framed the March exit rate as evidence the 7–8% organic target is intact.</w:t>
      </w:r>
    </w:p>
    <w:p>
      <w:pPr>
        <w:pStyle w:val="Compact"/>
        <w:numPr>
          <w:ilvl w:val="0"/>
          <w:numId w:val="1002"/>
        </w:numPr>
      </w:pPr>
      <w:r>
        <w:rPr>
          <w:b/>
          <w:bCs/>
        </w:rPr>
        <w:t xml:space="preserve">The Q2 test:</w:t>
      </w:r>
      <w:r>
        <w:t xml:space="preserve"> </w:t>
      </w:r>
      <w:r>
        <w:t xml:space="preserve">Peak pest season lands squarely in Q2, so this is the quarter that either validates that March momentum or exposes it as weather catch-up. Watch the split:</w:t>
      </w:r>
      <w:r>
        <w:t xml:space="preserve"> </w:t>
      </w:r>
      <w:r>
        <w:rPr>
          <w:b/>
          <w:bCs/>
        </w:rPr>
        <w:t xml:space="preserve">residential</w:t>
      </w:r>
      <w:r>
        <w:t xml:space="preserve"> </w:t>
      </w:r>
      <w:r>
        <w:t xml:space="preserve">(the most seasonal/discretionary line),</w:t>
      </w:r>
      <w:r>
        <w:t xml:space="preserve"> </w:t>
      </w:r>
      <w:r>
        <w:rPr>
          <w:b/>
          <w:bCs/>
        </w:rPr>
        <w:t xml:space="preserve">commercial</w:t>
      </w:r>
      <w:r>
        <w:t xml:space="preserve"> </w:t>
      </w:r>
      <w:r>
        <w:t xml:space="preserve">(steadier, benefiting from ~80 more account managers added y/y), and</w:t>
      </w:r>
      <w:r>
        <w:t xml:space="preserve"> </w:t>
      </w:r>
      <w:r>
        <w:rPr>
          <w:b/>
          <w:bCs/>
        </w:rPr>
        <w:t xml:space="preserve">termite &amp; ancillary</w:t>
      </w:r>
      <w:r>
        <w:t xml:space="preserve"> </w:t>
      </w:r>
      <w:r>
        <w:t xml:space="preserve">(running double-digit, the "9 shots on goal" cross-sell story).</w:t>
      </w:r>
    </w:p>
    <w:p>
      <w:pPr>
        <w:pStyle w:val="Compact"/>
        <w:numPr>
          <w:ilvl w:val="0"/>
          <w:numId w:val="1002"/>
        </w:numPr>
      </w:pPr>
      <w:r>
        <w:rPr>
          <w:b/>
          <w:bCs/>
        </w:rPr>
        <w:t xml:space="preserve">Year-ago bar:</w:t>
      </w:r>
      <w:r>
        <w:t xml:space="preserve"> </w:t>
      </w:r>
      <w:r>
        <w:t xml:space="preserve">Q2 2025 was strong —</w:t>
      </w:r>
      <w:r>
        <w:t xml:space="preserve"> </w:t>
      </w:r>
      <w:r>
        <w:rPr>
          <w:b/>
          <w:bCs/>
        </w:rPr>
        <w:t xml:space="preserve">revenue ~$999.5M (+12.1% total, +7.3% organic)</w:t>
      </w:r>
      <w:r>
        <w:t xml:space="preserve"> </w:t>
      </w:r>
      <w:r>
        <w:t xml:space="preserve">— a tougher comparison than Q1.</w:t>
      </w:r>
    </w:p>
    <w:p>
      <w:pPr>
        <w:pStyle w:val="FirstParagraph"/>
      </w:pPr>
      <w:r>
        <w:rPr>
          <w:b/>
          <w:bCs/>
        </w:rPr>
        <w:t xml:space="preserve">My rough model:</w:t>
      </w:r>
      <w:r>
        <w:t xml:space="preserve"> </w:t>
      </w:r>
      <w:r>
        <w:t xml:space="preserve">~9–11% total growth implies **~$1.09–1.11B in revenue**.</w:t>
      </w:r>
    </w:p>
    <w:p>
      <w:r>
        <w:pict>
          <v:rect style="width:0;height:1.5pt" o:hralign="center" o:hrstd="t" o:hr="t"/>
        </w:pict>
      </w:r>
    </w:p>
    <w:bookmarkEnd w:id="12"/>
    <w:bookmarkStart w:id="13" w:name="X5a0536537802f4979df21b5ac5a2db07144f873"/>
    <w:p>
      <w:pPr>
        <w:pStyle w:val="Heading2"/>
      </w:pPr>
      <w:r>
        <w:t xml:space="preserve">What to watch #2 — Margins (the crux of the debate)</w:t>
      </w:r>
    </w:p>
    <w:p>
      <w:pPr>
        <w:pStyle w:val="FirstParagraph"/>
      </w:pPr>
      <w:r>
        <w:t xml:space="preserve">Q1 margins disappointed: operating margin fell 120 bps to 16.1% and adjusted EBITDA margin fell 110 bps to 19.8%. Management attributed this to specific, mostly-transitory items and promised sequential improvement into peak season. The Q2 print is the credibility check on that promise. Key drivers to parse:</w:t>
      </w:r>
    </w:p>
    <w:p>
      <w:pPr>
        <w:pStyle w:val="Compact"/>
        <w:numPr>
          <w:ilvl w:val="0"/>
          <w:numId w:val="1003"/>
        </w:numPr>
      </w:pPr>
      <w:r>
        <w:rPr>
          <w:b/>
          <w:bCs/>
        </w:rPr>
        <w:t xml:space="preserve">Insurance &amp; claims</w:t>
      </w:r>
      <w:r>
        <w:t xml:space="preserve"> </w:t>
      </w:r>
      <w:r>
        <w:t xml:space="preserve">— the recurring villain. It spiked to ~3.7% of sales in Q1 (vs. ~2.9% full-year 2025) on maturing legacy auto claims; this same line pressured Q2 2025 EBITDA margins by ~70 bps. Management called this hard to predict and a multi-year headwind, though safety investments (lower collision/injury frequency) are described as leading indicators improving.</w:t>
      </w:r>
    </w:p>
    <w:p>
      <w:pPr>
        <w:pStyle w:val="Compact"/>
        <w:numPr>
          <w:ilvl w:val="0"/>
          <w:numId w:val="1003"/>
        </w:numPr>
      </w:pPr>
      <w:r>
        <w:rPr>
          <w:b/>
          <w:bCs/>
        </w:rPr>
        <w:t xml:space="preserve">Fleet / vehicle gains</w:t>
      </w:r>
      <w:r>
        <w:t xml:space="preserve"> </w:t>
      </w:r>
      <w:r>
        <w:t xml:space="preserve">— lower gains on sale of fleet vehicles were a ~50 bps gross-margin drag in Q1; management explicitly guided this to</w:t>
      </w:r>
      <w:r>
        <w:t xml:space="preserve"> </w:t>
      </w:r>
      <w:r>
        <w:rPr>
          <w:i/>
          <w:iCs/>
        </w:rPr>
        <w:t xml:space="preserve">improve</w:t>
      </w:r>
      <w:r>
        <w:t xml:space="preserve"> </w:t>
      </w:r>
      <w:r>
        <w:t xml:space="preserve">year-over-year in Q2. If it doesn't, that's a red flag.</w:t>
      </w:r>
    </w:p>
    <w:p>
      <w:pPr>
        <w:pStyle w:val="Compact"/>
        <w:numPr>
          <w:ilvl w:val="0"/>
          <w:numId w:val="1003"/>
        </w:numPr>
      </w:pPr>
      <w:r>
        <w:rPr>
          <w:b/>
          <w:bCs/>
        </w:rPr>
        <w:t xml:space="preserve">Operating leverage on people</w:t>
      </w:r>
      <w:r>
        <w:t xml:space="preserve"> </w:t>
      </w:r>
      <w:r>
        <w:t xml:space="preserve">— they deliberately carried extra technicians into peak season (a Q1 drag), betting on volume leverage in Q2/Q3. Higher volume should now flow through.</w:t>
      </w:r>
    </w:p>
    <w:p>
      <w:pPr>
        <w:pStyle w:val="Compact"/>
        <w:numPr>
          <w:ilvl w:val="0"/>
          <w:numId w:val="1003"/>
        </w:numPr>
      </w:pPr>
      <w:r>
        <w:rPr>
          <w:b/>
          <w:bCs/>
        </w:rPr>
        <w:t xml:space="preserve">Price/cost</w:t>
      </w:r>
      <w:r>
        <w:t xml:space="preserve"> </w:t>
      </w:r>
      <w:r>
        <w:t xml:space="preserve">— pricing expected to contribute</w:t>
      </w:r>
      <w:r>
        <w:t xml:space="preserve"> </w:t>
      </w:r>
      <w:r>
        <w:rPr>
          <w:b/>
          <w:bCs/>
        </w:rPr>
        <w:t xml:space="preserve">3–4% (ahead of CPI)</w:t>
      </w:r>
      <w:r>
        <w:t xml:space="preserve">, with management guiding to positive price/cost for the year.</w:t>
      </w:r>
    </w:p>
    <w:p>
      <w:pPr>
        <w:pStyle w:val="FirstParagraph"/>
      </w:pPr>
      <w:r>
        <w:t xml:space="preserve">Watch for</w:t>
      </w:r>
      <w:r>
        <w:t xml:space="preserve"> </w:t>
      </w:r>
      <w:r>
        <w:rPr>
          <w:b/>
          <w:bCs/>
        </w:rPr>
        <w:t xml:space="preserve">incremental margins</w:t>
      </w:r>
      <w:r>
        <w:t xml:space="preserve">: management argued Q1's underlying incrementals would have been ~20% ex-insurance/fleet, and reaffirmed the double-digit earnings-growth goal. Investors will want the reported (not adjusted-for-everything) incrementals to finally show up.</w:t>
      </w:r>
    </w:p>
    <w:p>
      <w:pPr>
        <w:pStyle w:val="BodyText"/>
      </w:pPr>
      <w:r>
        <w:rPr>
          <w:b/>
          <w:bCs/>
        </w:rPr>
        <w:t xml:space="preserve">My rough model:</w:t>
      </w:r>
      <w:r>
        <w:t xml:space="preserve"> </w:t>
      </w:r>
      <w:r>
        <w:t xml:space="preserve">adjusted EPS around</w:t>
      </w:r>
      <w:r>
        <w:t xml:space="preserve"> </w:t>
      </w:r>
      <w:r>
        <w:rPr>
          <w:b/>
          <w:bCs/>
        </w:rPr>
        <w:t xml:space="preserve">$0.32–0.34</w:t>
      </w:r>
      <w:r>
        <w:t xml:space="preserve"> </w:t>
      </w:r>
      <w:r>
        <w:t xml:space="preserve">vs. $0.30 a year ago (Q2 2025 GAAP EPS was $0.29).</w:t>
      </w:r>
    </w:p>
    <w:p>
      <w:r>
        <w:pict>
          <v:rect style="width:0;height:1.5pt" o:hralign="center" o:hrstd="t" o:hr="t"/>
        </w:pict>
      </w:r>
    </w:p>
    <w:bookmarkEnd w:id="13"/>
    <w:bookmarkStart w:id="14" w:name="X36e74b553d0e29d80e0206289ed8a8d63ab2ee4"/>
    <w:p>
      <w:pPr>
        <w:pStyle w:val="Heading2"/>
      </w:pPr>
      <w:r>
        <w:t xml:space="preserve">What to watch #3 — The new CFO's tone &amp; guidance continuity</w:t>
      </w:r>
    </w:p>
    <w:p>
      <w:pPr>
        <w:pStyle w:val="FirstParagraph"/>
      </w:pPr>
      <w:r>
        <w:t xml:space="preserve">With Harkins narrating for the first time, listen for:</w:t>
      </w:r>
    </w:p>
    <w:p>
      <w:pPr>
        <w:pStyle w:val="Compact"/>
        <w:numPr>
          <w:ilvl w:val="0"/>
          <w:numId w:val="1004"/>
        </w:numPr>
      </w:pPr>
      <w:r>
        <w:rPr>
          <w:b/>
          <w:bCs/>
        </w:rPr>
        <w:t xml:space="preserve">Whether the full-year 7–8% organic / 2–3% M&amp;A framework is explicitly reaffirmed</w:t>
      </w:r>
      <w:r>
        <w:t xml:space="preserve"> </w:t>
      </w:r>
      <w:r>
        <w:t xml:space="preserve">(any softening will be punished).</w:t>
      </w:r>
    </w:p>
    <w:p>
      <w:pPr>
        <w:pStyle w:val="Compact"/>
        <w:numPr>
          <w:ilvl w:val="0"/>
          <w:numId w:val="1004"/>
        </w:numPr>
      </w:pPr>
      <w:r>
        <w:t xml:space="preserve">Reaffirmation of</w:t>
      </w:r>
      <w:r>
        <w:t xml:space="preserve"> </w:t>
      </w:r>
      <w:r>
        <w:rPr>
          <w:b/>
          <w:bCs/>
        </w:rPr>
        <w:t xml:space="preserve">double-digit adjusted earnings growth</w:t>
      </w:r>
      <w:r>
        <w:t xml:space="preserve"> </w:t>
      </w:r>
      <w:r>
        <w:t xml:space="preserve">and</w:t>
      </w:r>
      <w:r>
        <w:t xml:space="preserve"> </w:t>
      </w:r>
      <w:r>
        <w:rPr>
          <w:b/>
          <w:bCs/>
        </w:rPr>
        <w:t xml:space="preserve">&gt;100% free-cash-flow conversion</w:t>
      </w:r>
      <w:r>
        <w:t xml:space="preserve"> </w:t>
      </w:r>
      <w:r>
        <w:t xml:space="preserve">for 2026.</w:t>
      </w:r>
    </w:p>
    <w:p>
      <w:pPr>
        <w:pStyle w:val="Compact"/>
        <w:numPr>
          <w:ilvl w:val="0"/>
          <w:numId w:val="1004"/>
        </w:numPr>
      </w:pPr>
      <w:r>
        <w:t xml:space="preserve">Any change in cadence, disclosure, or capital-allocation philosophy. Continuity and confidence are the assignment.</w:t>
      </w:r>
    </w:p>
    <w:p>
      <w:r>
        <w:pict>
          <v:rect style="width:0;height:1.5pt" o:hralign="center" o:hrstd="t" o:hr="t"/>
        </w:pict>
      </w:r>
    </w:p>
    <w:bookmarkEnd w:id="14"/>
    <w:bookmarkStart w:id="15" w:name="Xcb6648536684c4391be87a1a02784a46658f0fc"/>
    <w:p>
      <w:pPr>
        <w:pStyle w:val="Heading2"/>
      </w:pPr>
      <w:r>
        <w:t xml:space="preserve">What to watch #4 — Cash flow &amp; capital allocation</w:t>
      </w:r>
    </w:p>
    <w:p>
      <w:pPr>
        <w:pStyle w:val="FirstParagraph"/>
      </w:pPr>
      <w:r>
        <w:t xml:space="preserve">Q1 free cash flow</w:t>
      </w:r>
      <w:r>
        <w:t xml:space="preserve"> </w:t>
      </w:r>
      <w:r>
        <w:rPr>
          <w:i/>
          <w:iCs/>
        </w:rPr>
        <w:t xml:space="preserve">fell</w:t>
      </w:r>
      <w:r>
        <w:t xml:space="preserve"> </w:t>
      </w:r>
      <w:r>
        <w:t xml:space="preserve">~21% to</w:t>
      </w:r>
      <w:r>
        <w:t xml:space="preserve"> </w:t>
      </w:r>
      <m:oMath>
        <m:r>
          <m:t>111</m:t>
        </m:r>
        <m:r>
          <m:t>M</m:t>
        </m:r>
        <m:r>
          <m:rPr>
            <m:sty m:val="p"/>
          </m:rPr>
          <m:t>,</m:t>
        </m:r>
        <m:r>
          <m:t>b</m:t>
        </m:r>
        <m:r>
          <m:t>u</m:t>
        </m:r>
        <m:r>
          <m:t>t</m:t>
        </m:r>
        <m:r>
          <m:t>o</m:t>
        </m:r>
        <m:r>
          <m:t>n</m:t>
        </m:r>
        <m:r>
          <m:t>o</m:t>
        </m:r>
        <m:r>
          <m:t>p</m:t>
        </m:r>
        <m:r>
          <m:t>t</m:t>
        </m:r>
        <m:r>
          <m:t>i</m:t>
        </m:r>
        <m:r>
          <m:t>c</m:t>
        </m:r>
        <m:r>
          <m:t>s</m:t>
        </m:r>
        <m:r>
          <m:rPr>
            <m:sty m:val="p"/>
          </m:rPr>
          <m:t>:</m:t>
        </m:r>
        <m:r>
          <m:t>i</m:t>
        </m:r>
        <m:r>
          <m:t>t</m:t>
        </m:r>
        <m:r>
          <m:t>w</m:t>
        </m:r>
        <m:r>
          <m:t>a</m:t>
        </m:r>
        <m:r>
          <m:t>s</m:t>
        </m:r>
        <m:r>
          <m:t>h</m:t>
        </m:r>
        <m:r>
          <m:t>i</m:t>
        </m:r>
        <m:r>
          <m:t>t</m:t>
        </m:r>
        <m:r>
          <m:t>b</m:t>
        </m:r>
        <m:r>
          <m:t>y</m:t>
        </m:r>
        <m:r>
          <m:t> </m:t>
        </m:r>
      </m:oMath>
      <w:r>
        <w:t xml:space="preserve">40M of tax-payment timing (tax-credit strategy) and ~$9M from the shift to semi-annual interest on the 2035 notes. Management said ex-those items FCF would have grown ~14%, and guided the interest drag to</w:t>
      </w:r>
      <w:r>
        <w:t xml:space="preserve"> </w:t>
      </w:r>
      <w:r>
        <w:rPr>
          <w:i/>
          <w:iCs/>
        </w:rPr>
        <w:t xml:space="preserve">not</w:t>
      </w:r>
      <w:r>
        <w:t xml:space="preserve"> </w:t>
      </w:r>
      <w:r>
        <w:t xml:space="preserve">repeat in Q2. Watch for the</w:t>
      </w:r>
      <w:r>
        <w:t xml:space="preserve"> </w:t>
      </w:r>
      <w:r>
        <w:rPr>
          <w:b/>
          <w:bCs/>
        </w:rPr>
        <w:t xml:space="preserve">normalization</w:t>
      </w:r>
      <w:r>
        <w:t xml:space="preserve"> </w:t>
      </w:r>
      <w:r>
        <w:t xml:space="preserve">they promised, plus:</w:t>
      </w:r>
    </w:p>
    <w:p>
      <w:pPr>
        <w:pStyle w:val="Compact"/>
        <w:numPr>
          <w:ilvl w:val="0"/>
          <w:numId w:val="1005"/>
        </w:numPr>
      </w:pPr>
      <w:r>
        <w:rPr>
          <w:b/>
          <w:bCs/>
        </w:rPr>
        <w:t xml:space="preserve">M&amp;A pace</w:t>
      </w:r>
      <w:r>
        <w:t xml:space="preserve"> </w:t>
      </w:r>
      <w:r>
        <w:t xml:space="preserve">— Romex (a PCT top-40 company) closed in April and should lift the M&amp;A contribution; Q1 M&amp;A added 3.6% to growth. Balance sheet is healthy at</w:t>
      </w:r>
      <w:r>
        <w:t xml:space="preserve"> </w:t>
      </w:r>
      <w:r>
        <w:rPr>
          <w:b/>
          <w:bCs/>
        </w:rPr>
        <w:t xml:space="preserve">0.9x leverage</w:t>
      </w:r>
      <w:r>
        <w:t xml:space="preserve">.</w:t>
      </w:r>
    </w:p>
    <w:p>
      <w:pPr>
        <w:pStyle w:val="Compact"/>
        <w:numPr>
          <w:ilvl w:val="0"/>
          <w:numId w:val="1005"/>
        </w:numPr>
      </w:pPr>
      <w:r>
        <w:rPr>
          <w:b/>
          <w:bCs/>
        </w:rPr>
        <w:t xml:space="preserve">Dividend</w:t>
      </w:r>
      <w:r>
        <w:t xml:space="preserve"> </w:t>
      </w:r>
      <w:r>
        <w:t xml:space="preserve">— raised to $0.1825/quarter (up ~11% y/y); ROL is a serial raiser.</w:t>
      </w:r>
    </w:p>
    <w:p>
      <w:pPr>
        <w:pStyle w:val="Compact"/>
        <w:numPr>
          <w:ilvl w:val="0"/>
          <w:numId w:val="1005"/>
        </w:numPr>
      </w:pPr>
      <w:r>
        <w:t xml:space="preserve">Any commentary on</w:t>
      </w:r>
      <w:r>
        <w:t xml:space="preserve"> </w:t>
      </w:r>
      <w:r>
        <w:rPr>
          <w:b/>
          <w:bCs/>
        </w:rPr>
        <w:t xml:space="preserve">buybacks</w:t>
      </w:r>
      <w:r>
        <w:t xml:space="preserve"> </w:t>
      </w:r>
      <w:r>
        <w:t xml:space="preserve">given the depressed share price (they repurchased ~$22M in Q1).</w:t>
      </w:r>
    </w:p>
    <w:p>
      <w:r>
        <w:pict>
          <v:rect style="width:0;height:1.5pt" o:hralign="center" o:hrstd="t" o:hr="t"/>
        </w:pict>
      </w:r>
    </w:p>
    <w:bookmarkEnd w:id="15"/>
    <w:bookmarkStart w:id="16" w:name="bull-vs-bear-into-the-print"/>
    <w:p>
      <w:pPr>
        <w:pStyle w:val="Heading2"/>
      </w:pPr>
      <w:r>
        <w:t xml:space="preserve">Bull vs. bear into the print</w:t>
      </w:r>
    </w:p>
    <w:p>
      <w:pPr>
        <w:pStyle w:val="FirstParagraph"/>
      </w:pPr>
      <w:r>
        <w:rPr>
          <w:b/>
          <w:bCs/>
        </w:rPr>
        <w:t xml:space="preserve">Bull case:</w:t>
      </w:r>
      <w:r>
        <w:t xml:space="preserve"> </w:t>
      </w:r>
      <w:r>
        <w:t xml:space="preserve">Peak-season volume confirms the March acceleration, organic prints in the 7–8% zone, insurance/fleet headwinds fade and margins re-expand year-over-year, new CFO reaffirms everything, and a ~40x multiple on a de-rated, still-double-digit-earnings-grower starts to look like an entry point after a 33% drawdown.</w:t>
      </w:r>
    </w:p>
    <w:p>
      <w:pPr>
        <w:pStyle w:val="BodyText"/>
      </w:pPr>
      <w:r>
        <w:rPr>
          <w:b/>
          <w:bCs/>
        </w:rPr>
        <w:t xml:space="preserve">Bear case:</w:t>
      </w:r>
      <w:r>
        <w:t xml:space="preserve"> </w:t>
      </w:r>
      <w:r>
        <w:t xml:space="preserve">March strength was weather catch-up, the tough Q2 comp bites, insurance/claims stays elevated and margins miss again, and the CFO transition + persistent de-rating signal that a premium defensive multiple simply isn't coming back — leaving the stock stuck even on "fine" fundamentals.</w:t>
      </w:r>
    </w:p>
    <w:p>
      <w:r>
        <w:pict>
          <v:rect style="width:0;height:1.5pt" o:hralign="center" o:hrstd="t" o:hr="t"/>
        </w:pict>
      </w:r>
    </w:p>
    <w:bookmarkEnd w:id="16"/>
    <w:bookmarkStart w:id="18" w:name="levels--reference-points"/>
    <w:p>
      <w:pPr>
        <w:pStyle w:val="Heading2"/>
      </w:pPr>
      <w:r>
        <w:t xml:space="preserve">Levels &amp; reference points</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Metric</w:t>
            </w:r>
          </w:p>
        </w:tc>
        <w:tc>
          <w:tcPr/>
          <w:p>
            <w:pPr>
              <w:pStyle w:val="Compact"/>
            </w:pPr>
            <w:r>
              <w:t xml:space="preserve">Value</w:t>
            </w:r>
          </w:p>
        </w:tc>
      </w:tr>
      <w:tr>
        <w:tc>
          <w:tcPr/>
          <w:p>
            <w:pPr>
              <w:pStyle w:val="Compact"/>
            </w:pPr>
            <w:r>
              <w:t xml:space="preserve">Last close (7/21/26)</w:t>
            </w:r>
          </w:p>
        </w:tc>
        <w:tc>
          <w:tcPr/>
          <w:p>
            <w:pPr>
              <w:pStyle w:val="Compact"/>
            </w:pPr>
            <w:r>
              <w:t xml:space="preserve">$43.87</w:t>
            </w:r>
          </w:p>
        </w:tc>
      </w:tr>
      <w:tr>
        <w:tc>
          <w:tcPr/>
          <w:p>
            <w:pPr>
              <w:pStyle w:val="Compact"/>
            </w:pPr>
            <w:r>
              <w:t xml:space="preserve">YTD</w:t>
            </w:r>
          </w:p>
        </w:tc>
        <w:tc>
          <w:tcPr/>
          <w:p>
            <w:pPr>
              <w:pStyle w:val="Compact"/>
            </w:pPr>
            <w:r>
              <w:t xml:space="preserve">~ –26%</w:t>
            </w:r>
          </w:p>
        </w:tc>
      </w:tr>
      <w:tr>
        <w:tc>
          <w:tcPr/>
          <w:p>
            <w:pPr>
              <w:pStyle w:val="Compact"/>
            </w:pPr>
            <w:r>
              <w:t xml:space="preserve">From 2/11 high (~$65.60)</w:t>
            </w:r>
          </w:p>
        </w:tc>
        <w:tc>
          <w:tcPr/>
          <w:p>
            <w:pPr>
              <w:pStyle w:val="Compact"/>
            </w:pPr>
            <w:r>
              <w:t xml:space="preserve">~ –33%</w:t>
            </w:r>
          </w:p>
        </w:tc>
      </w:tr>
      <w:tr>
        <w:tc>
          <w:tcPr/>
          <w:p>
            <w:pPr>
              <w:pStyle w:val="Compact"/>
            </w:pPr>
            <w:r>
              <w:t xml:space="preserve">Trailing 12-mo</w:t>
            </w:r>
          </w:p>
        </w:tc>
        <w:tc>
          <w:tcPr/>
          <w:p>
            <w:pPr>
              <w:pStyle w:val="Compact"/>
            </w:pPr>
            <w:r>
              <w:t xml:space="preserve">~ –21%</w:t>
            </w:r>
          </w:p>
        </w:tc>
      </w:tr>
      <w:tr>
        <w:tc>
          <w:tcPr/>
          <w:p>
            <w:pPr>
              <w:pStyle w:val="Compact"/>
            </w:pPr>
            <w:r>
              <w:t xml:space="preserve">Since day before CFO news (5/26)</w:t>
            </w:r>
          </w:p>
        </w:tc>
        <w:tc>
          <w:tcPr/>
          <w:p>
            <w:pPr>
              <w:pStyle w:val="Compact"/>
            </w:pPr>
            <w:r>
              <w:t xml:space="preserve">~ –17.5%</w:t>
            </w:r>
          </w:p>
        </w:tc>
      </w:tr>
      <w:tr>
        <w:tc>
          <w:tcPr/>
          <w:p>
            <w:pPr>
              <w:pStyle w:val="Compact"/>
            </w:pPr>
            <w:r>
              <w:t xml:space="preserve">52-wk low (6/30/26)</w:t>
            </w:r>
          </w:p>
        </w:tc>
        <w:tc>
          <w:tcPr/>
          <w:p>
            <w:pPr>
              <w:pStyle w:val="Compact"/>
            </w:pPr>
            <w:r>
              <w:t xml:space="preserve">~$41.74</w:t>
            </w:r>
          </w:p>
        </w:tc>
      </w:tr>
      <w:tr>
        <w:tc>
          <w:tcPr/>
          <w:p>
            <w:pPr>
              <w:pStyle w:val="Compact"/>
            </w:pPr>
            <w:r>
              <w:t xml:space="preserve">Leverage</w:t>
            </w:r>
          </w:p>
        </w:tc>
        <w:tc>
          <w:tcPr/>
          <w:p>
            <w:pPr>
              <w:pStyle w:val="Compact"/>
            </w:pPr>
            <w:r>
              <w:t xml:space="preserve">0.9x</w:t>
            </w:r>
          </w:p>
        </w:tc>
      </w:tr>
      <w:tr>
        <w:tc>
          <w:tcPr/>
          <w:p>
            <w:pPr>
              <w:pStyle w:val="Compact"/>
            </w:pPr>
            <w:r>
              <w:t xml:space="preserve">Est. Q2'26 revenue</w:t>
            </w:r>
          </w:p>
        </w:tc>
        <w:tc>
          <w:tcPr/>
          <w:p>
            <w:pPr>
              <w:pStyle w:val="Compact"/>
            </w:pPr>
            <w:r>
              <w:t xml:space="preserve">~$1.09–1.11B</w:t>
            </w:r>
          </w:p>
        </w:tc>
      </w:tr>
      <w:tr>
        <w:tc>
          <w:tcPr/>
          <w:p>
            <w:pPr>
              <w:pStyle w:val="Compact"/>
            </w:pPr>
            <w:r>
              <w:t xml:space="preserve">Est. Q2'26 adj. EPS</w:t>
            </w:r>
          </w:p>
        </w:tc>
        <w:tc>
          <w:tcPr/>
          <w:p>
            <w:pPr>
              <w:pStyle w:val="Compact"/>
            </w:pPr>
            <w:r>
              <w:t xml:space="preserve">~$0.32–0.34 (vs. $0.30 LY)</w:t>
            </w:r>
          </w:p>
        </w:tc>
      </w:tr>
      <w:tr>
        <w:tc>
          <w:tcPr/>
          <w:p>
            <w:pPr>
              <w:pStyle w:val="Compact"/>
            </w:pPr>
            <w:r>
              <w:t xml:space="preserve">Q2'25 actuals</w:t>
            </w:r>
          </w:p>
        </w:tc>
        <w:tc>
          <w:tcPr/>
          <w:p>
            <w:pPr>
              <w:pStyle w:val="Compact"/>
            </w:pPr>
            <w:r>
              <w:t xml:space="preserve">Rev $999.5M / GAAP EPS $0.29 / Adj EPS $0.30</w:t>
            </w:r>
          </w:p>
        </w:tc>
      </w:tr>
    </w:tbl>
    <w:p>
      <w:pPr>
        <w:pStyle w:val="BodyText"/>
      </w:pPr>
      <w:r>
        <w:rPr>
          <w:i/>
          <w:iCs/>
        </w:rPr>
        <w:t xml:space="preserve">Estimates above are my own back-of-envelope figures derived from the year-ago base and management's growth framework, not published consensus.</w:t>
      </w:r>
    </w:p>
    <w:p>
      <w:r>
        <w:pict>
          <v:rect style="width:0;height:1.5pt" o:hralign="center" o:hrstd="t" o:hr="t"/>
        </w:pict>
      </w:r>
    </w:p>
    <w:bookmarkStart w:id="17" w:name="the-tell"/>
    <w:p>
      <w:pPr>
        <w:pStyle w:val="Heading3"/>
      </w:pPr>
      <w:r>
        <w:t xml:space="preserve">The tell</w:t>
      </w:r>
    </w:p>
    <w:p>
      <w:pPr>
        <w:pStyle w:val="FirstParagraph"/>
      </w:pPr>
      <w:r>
        <w:t xml:space="preserve">Ignore the headline EPS for a second and watch three things on the tape: (1)</w:t>
      </w:r>
      <w:r>
        <w:t xml:space="preserve"> </w:t>
      </w:r>
      <w:r>
        <w:rPr>
          <w:b/>
          <w:bCs/>
        </w:rPr>
        <w:t xml:space="preserve">organic growth by segment</w:t>
      </w:r>
      <w:r>
        <w:t xml:space="preserve"> </w:t>
      </w:r>
      <w:r>
        <w:t xml:space="preserve">vs. the 7–8% goal, (2) whether</w:t>
      </w:r>
      <w:r>
        <w:t xml:space="preserve"> </w:t>
      </w:r>
      <w:r>
        <w:rPr>
          <w:b/>
          <w:bCs/>
        </w:rPr>
        <w:t xml:space="preserve">year-over-year margins turn positive</w:t>
      </w:r>
      <w:r>
        <w:t xml:space="preserve"> </w:t>
      </w:r>
      <w:r>
        <w:t xml:space="preserve">as insurance/fleet headwinds were promised to ease, and (3) whether the</w:t>
      </w:r>
      <w:r>
        <w:t xml:space="preserve"> </w:t>
      </w:r>
      <w:r>
        <w:rPr>
          <w:b/>
          <w:bCs/>
        </w:rPr>
        <w:t xml:space="preserve">new CFO reaffirms the full-year framework word-for-word</w:t>
      </w:r>
      <w:r>
        <w:t xml:space="preserve">. Get those three green and the drawdown looks overdone; any wobble and the de-rating likely has further to run.</w:t>
      </w:r>
    </w:p>
    <w:bookmarkEnd w:id="17"/>
    <w:bookmarkEnd w:id="18"/>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2026-07-22T01:07:38Z</dcterms:created>
  <dcterms:modified xsi:type="dcterms:W3CDTF">2026-07-22T01:07:38Z</dcterms:modified>
</cp:coreProperties>
</file>

<file path=docProps/custom.xml><?xml version="1.0" encoding="utf-8"?>
<Properties xmlns="http://schemas.openxmlformats.org/officeDocument/2006/custom-properties" xmlns:vt="http://schemas.openxmlformats.org/officeDocument/2006/docPropsVTypes"/>
</file>