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l-earnings-predictions--2026-07-22"/>
    <w:p>
      <w:pPr>
        <w:pStyle w:val="Heading1"/>
      </w:pPr>
      <w:r>
        <w:t xml:space="preserve">ROL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~$0.34 vs. cons $0.34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~7.0% vs. cons 7.5%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~19.9% vs. cons 20.6%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~7.5% vs. cons 7.5%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Incremental EBITDA Margin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~22% vs. cons 27.5%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~10% vs. cons 15%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-7.5% (FOLLOW-THROUGH)</w:t>
            </w:r>
          </w:p>
        </w:tc>
        <w:tc>
          <w:tcPr/>
          <w:p>
            <w:pPr>
              <w:pStyle w:val="Compact"/>
            </w:pPr>
            <w:r>
              <w:t xml:space="preserve">Realized beta to SPX has been near-zero/negative for months (idiosyncratic CFO/margin story decoupled from a rallying tape), so the print itself drives the residual. Our base case has organic growth still short of the 7-8% algorithm (residential still lagging) and EBITDA margin missing as insurance/claims costs (running 3.7% of sales in Q1, worsening trend) fail to moderate as guided — directly validating Bernstein's downgrade thesis just two months after Investor Day reaffirmed 25-35% incrementals. A first call from new CFO Harkins that hedges or softens the incremental-margin language (rather than reaffirming it crisply) forces sell-side models to push out margin recovery into 2027, producing implicit cuts to FY26/FY27 EPS even if headline EPS is roughly in line. That out-period math, plus no clean 'reset' catalyst (unlike a beat-and-raise), points to continued selling pressure and further target cuts over the following days rather than a bounce, despite the stock already being down ~30% and near 52-week lows.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2026-07-22T01:06:46Z</dcterms:created>
  <dcterms:modified xsi:type="dcterms:W3CDTF">2026-07-22T01:06:46Z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