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8b86cf6180beb16021dac67a3e5a0f15c64be1f"/>
    <w:p>
      <w:pPr>
        <w:pStyle w:val="Heading1"/>
      </w:pPr>
      <w:r>
        <w:t xml:space="preserve">Rollins, Inc. (NYSE: ROL) — Q2 2026 Earnings Preview</w:t>
      </w:r>
    </w:p>
    <w:p>
      <w:pPr>
        <w:pStyle w:val="FirstParagraph"/>
      </w:pPr>
      <w:r>
        <w:rPr>
          <w:b/>
          <w:bCs/>
        </w:rPr>
        <w:t xml:space="preserve">Reports: Wednesday, July 22, 2026, before market open | Call: 8:30 AM ET</w:t>
      </w:r>
    </w:p>
    <w:bookmarkStart w:id="9" w:name="X9fb42dab0ee6c74d9f6b82e389e25812d7a5469"/>
    <w:p>
      <w:pPr>
        <w:pStyle w:val="Heading2"/>
      </w:pPr>
      <w:r>
        <w:t xml:space="preserve">Setup: A Stock in Freefall Heading Into the Print</w:t>
      </w:r>
    </w:p>
    <w:p>
      <w:pPr>
        <w:pStyle w:val="FirstParagraph"/>
      </w:pPr>
      <w:r>
        <w:t xml:space="preserve">This is not a typical "steady compounder" earnings preview. ROL shares have been cut by roughly a third since mid-February, sliding from a 52-week high near</w:t>
      </w:r>
      <w:r>
        <w:t xml:space="preserve"> </w:t>
      </w:r>
      <m:oMath>
        <m:r>
          <m:t>65</m:t>
        </m:r>
        <m:r>
          <m:rPr>
            <m:sty m:val="p"/>
          </m:rPr>
          <m:t>−</m:t>
        </m:r>
        <m:r>
          <m:t>66</m:t>
        </m:r>
        <m:r>
          <m:t>t</m:t>
        </m:r>
        <m:r>
          <m:t>o</m:t>
        </m:r>
        <m:r>
          <m:t>a</m:t>
        </m:r>
        <m:r>
          <m:t>c</m:t>
        </m:r>
        <m:r>
          <m:t>l</m:t>
        </m:r>
        <m:r>
          <m:t>o</m:t>
        </m:r>
        <m:r>
          <m:t>s</m:t>
        </m:r>
        <m:r>
          <m:t>e</m:t>
        </m:r>
        <m:r>
          <m:t>o</m:t>
        </m:r>
        <m:r>
          <m:t>f</m:t>
        </m:r>
        <m:r>
          <m:rPr>
            <m:sty m:val="p"/>
          </m:rPr>
          <m:t>*</m:t>
        </m:r>
        <m:r>
          <m:rPr>
            <m:sty m:val="p"/>
          </m:rPr>
          <m:t>*</m:t>
        </m:r>
      </m:oMath>
      <w:r>
        <w:t xml:space="preserve">43.87** on July 21, deep in 52-week-low territory (the low-$42 area was tested repeatedly in late June/early July). Rollins' stock has had a disappointing run over the past year, significantly underperforming the broader market, with shares falling nearly 25.6% during the period, sharply lagging the S&amp;P 500's 20.7% surge. The damage has been driven less by a single blown quarter than by a slow accumulation of concerns: a weather-driven soft start to 2026, persistent margin drag from insurance/claims costs, and — most acutely — a surprise CFO departure in late May.</w:t>
      </w:r>
    </w:p>
    <w:p>
      <w:pPr>
        <w:pStyle w:val="BodyText"/>
      </w:pPr>
      <w:r>
        <w:t xml:space="preserve">Despite the rout, sell-side sentiment is split rather than uniformly bearish. Despite the stock's recent weakness, Wall Street remains cautiously optimistic, with the stock carrying a consensus "Moderate Buy" rating from 17 analysts (nine Strong Buy, two Moderate Buy, six Hold), and an average price target of $62.56 implying potential upside of roughly 48.5% from current levels. That gap between price and target underscores that this print carries real stakes for sentiment.</w:t>
      </w:r>
    </w:p>
    <w:bookmarkEnd w:id="9"/>
    <w:bookmarkStart w:id="10" w:name="what-happened-since-q1"/>
    <w:p>
      <w:pPr>
        <w:pStyle w:val="Heading2"/>
      </w:pPr>
      <w:r>
        <w:t xml:space="preserve">What Happened Since Q1</w:t>
      </w:r>
    </w:p>
    <w:p>
      <w:pPr>
        <w:pStyle w:val="FirstParagraph"/>
      </w:pPr>
      <w:r>
        <w:rPr>
          <w:b/>
          <w:bCs/>
        </w:rPr>
        <w:t xml:space="preserve">Q1 2026 (reported April 22):</w:t>
      </w:r>
      <w:r>
        <w:t xml:space="preserve"> </w:t>
      </w:r>
      <w:r>
        <w:t xml:space="preserve">Revenue of $906.4M grew 10.2% y/y with organic growth of 6.6% — soft in January on unfavorable weather but accelerating sharply through the quarter, exiting March at roughly 12% total and over 8% organic growth. Margins disappointed: gross margin fell 60bps to 50.8% and adjusted EBITDA margin fell 110bps to 19.8%, pressured by elevated insurance/claims costs (2.3% of revenue vs. 2.0% a year ago) and lower gains on fleet vehicle sales. Adjusted EPS of $0.24 still grew 9.1% y/y. Free cash flow fell 20.6% y/y, though management attributed most of the decline to the timing of tax-credit payments and a shift to semi-annual note interest payments (ex-items, FCF would have grown ~14%).</w:t>
      </w:r>
    </w:p>
    <w:p>
      <w:pPr>
        <w:pStyle w:val="BodyText"/>
      </w:pPr>
      <w:r>
        <w:rPr>
          <w:b/>
          <w:bCs/>
        </w:rPr>
        <w:t xml:space="preserve">May 14 — Investor Day:</w:t>
      </w:r>
      <w:r>
        <w:t xml:space="preserve"> </w:t>
      </w:r>
      <w:r>
        <w:t xml:space="preserve">Management used the event to reaffirm rather than reset expectations. The company reinforced its long-term framework — a capital-light model, recurring revenues, and a medium-term algorithm of 7-8% organic growth plus 2-3% from M&amp;A, with 30-35% incremental margins and free cash flow conversion above 100% — building on a record of 25 years of revenue and adjusted EBITDA growth and nearly 100 consecutive quarters of revenue gains.</w:t>
      </w:r>
    </w:p>
    <w:p>
      <w:pPr>
        <w:pStyle w:val="BodyText"/>
      </w:pPr>
      <w:r>
        <w:rPr>
          <w:b/>
          <w:bCs/>
        </w:rPr>
        <w:t xml:space="preserve">May 27 — CFO transition:</w:t>
      </w:r>
      <w:r>
        <w:t xml:space="preserve"> </w:t>
      </w:r>
      <w:r>
        <w:t xml:space="preserve">In the announcement that appears to have triggered the steepest leg of the stock's decline, Rollins disclosed that CFO Ken Krause would resign effective June 15 to pursue an opportunity in an unrelated industry, with Chief Accounting Officer William Harkins elevated to CFO. The market reaction was negative largely because Krause was closely associated with the company's margin-improvement and capital-markets modernization story. Bernstein downgraded Rollins to Market Perform from Outperform and cut its price target to $52 from $70, highlighting the resignation of CFO Ken Krause, described as a central figure in the company's margin transformation story. Bernstein also pointed to uneven progress toward Rollins's 30% to 35% incremental EBITDA margin target under prior management and now sees lower odds of that goal being reached, contributing to a more cautious stance on execution and valuation.</w:t>
      </w:r>
    </w:p>
    <w:p>
      <w:pPr>
        <w:pStyle w:val="BodyText"/>
      </w:pPr>
      <w:r>
        <w:rPr>
          <w:b/>
          <w:bCs/>
        </w:rPr>
        <w:t xml:space="preserve">Since then</w:t>
      </w:r>
      <w:r>
        <w:t xml:space="preserve">, sell-side targets have converged lower but views remain mixed: Morgan Stanley's latest price target, set July 8, 2026, is</w:t>
      </w:r>
      <w:r>
        <w:t xml:space="preserve"> </w:t>
      </w:r>
      <m:oMath>
        <m:r>
          <m:t>65.00</m:t>
        </m:r>
        <m:r>
          <m:rPr>
            <m:sty m:val="p"/>
          </m:rPr>
          <m:t>,</m:t>
        </m:r>
        <m:r>
          <m:t>m</m:t>
        </m:r>
        <m:r>
          <m:t>a</m:t>
        </m:r>
        <m:r>
          <m:t>i</m:t>
        </m:r>
        <m:r>
          <m:t>n</m:t>
        </m:r>
        <m:r>
          <m:t>t</m:t>
        </m:r>
        <m:r>
          <m:t>a</m:t>
        </m:r>
        <m:r>
          <m:t>i</m:t>
        </m:r>
        <m:r>
          <m:t>n</m:t>
        </m:r>
        <m:r>
          <m:t>i</m:t>
        </m:r>
        <m:r>
          <m:t>n</m:t>
        </m:r>
        <m:r>
          <m:t>g</m:t>
        </m:r>
        <m:r>
          <m:t>a</m:t>
        </m:r>
        <m:r>
          <m:t>n</m:t>
        </m:r>
        <m:r>
          <m:t>o</m:t>
        </m:r>
        <m:r>
          <m:t>v</m:t>
        </m:r>
        <m:r>
          <m:t>e</m:t>
        </m:r>
        <m:r>
          <m:t>r</m:t>
        </m:r>
        <m:r>
          <m:t>w</m:t>
        </m:r>
        <m:r>
          <m:t>e</m:t>
        </m:r>
        <m:r>
          <m:t>i</m:t>
        </m:r>
        <m:r>
          <m:t>g</m:t>
        </m:r>
        <m:r>
          <m:t>h</m:t>
        </m:r>
        <m:r>
          <m:t>t</m:t>
        </m:r>
        <m:r>
          <m:t>r</m:t>
        </m:r>
        <m:r>
          <m:t>a</m:t>
        </m:r>
        <m:r>
          <m:t>t</m:t>
        </m:r>
        <m:r>
          <m:t>i</m:t>
        </m:r>
        <m:r>
          <m:t>n</m:t>
        </m:r>
        <m:r>
          <m:t>g</m:t>
        </m:r>
        <m:r>
          <m:rPr>
            <m:sty m:val="p"/>
          </m:rPr>
          <m:t>,</m:t>
        </m:r>
        <m:r>
          <m:t>w</m:t>
        </m:r>
        <m:r>
          <m:t>h</m:t>
        </m:r>
        <m:r>
          <m:t>i</m:t>
        </m:r>
        <m:r>
          <m:t>l</m:t>
        </m:r>
        <m:r>
          <m:t>e</m:t>
        </m:r>
        <m:r>
          <m:t>o</m:t>
        </m:r>
        <m:r>
          <m:t>t</m:t>
        </m:r>
        <m:r>
          <m:t>h</m:t>
        </m:r>
        <m:r>
          <m:t>e</m:t>
        </m:r>
        <m:r>
          <m:t>r</m:t>
        </m:r>
        <m:r>
          <m:t>d</m:t>
        </m:r>
        <m:r>
          <m:t>e</m:t>
        </m:r>
        <m:r>
          <m:t>s</m:t>
        </m:r>
        <m:r>
          <m:t>k</m:t>
        </m:r>
        <m:r>
          <m:t>s</m:t>
        </m:r>
        <m:r>
          <m:t>s</m:t>
        </m:r>
        <m:r>
          <m:t>u</m:t>
        </m:r>
        <m:r>
          <m:t>c</m:t>
        </m:r>
        <m:r>
          <m:t>h</m:t>
        </m:r>
        <m:r>
          <m:t>a</m:t>
        </m:r>
        <m:r>
          <m:t>s</m:t>
        </m:r>
        <m:r>
          <m:t>U</m:t>
        </m:r>
        <m:r>
          <m:t>B</m:t>
        </m:r>
        <m:r>
          <m:t>S</m:t>
        </m:r>
        <m:r>
          <m:rPr>
            <m:sty m:val="p"/>
          </m:rPr>
          <m:t>(</m:t>
        </m:r>
      </m:oMath>
      <w:r>
        <w:t xml:space="preserve">61) and Canaccord ($51) sit at varying points in between, and Wells Fargo's Jason Haas holds the most conservative target in the group.</w:t>
      </w:r>
    </w:p>
    <w:bookmarkEnd w:id="10"/>
    <w:bookmarkStart w:id="11" w:name="what-the-street-expects-for-q2"/>
    <w:p>
      <w:pPr>
        <w:pStyle w:val="Heading2"/>
      </w:pPr>
      <w:r>
        <w:t xml:space="preserve">What The Street Expects for Q2</w:t>
      </w:r>
    </w:p>
    <w:p>
      <w:pPr>
        <w:pStyle w:val="FirstParagraph"/>
      </w:pPr>
      <w:r>
        <w:t xml:space="preserve">Analysts are anticipating roughly $1.1 billion in revenue for Q2 2026, marking a 9.8% year-over-year increase. Analysts forecast earnings of $0.34 per share, representing a 13.3% year-over-year increase. Rollins has a strong track record of execution, having met or exceeded analysts' earnings estimates in three of the past four quarters and missing them once. Looking further out, analysts expect full-year fiscal 2026 EPS of $1.24, up 10.7% from $1.12 in fiscal 2025, with earnings growth expected to remain robust at 12.1% year over year to $1.39 in fiscal 2027.</w:t>
      </w:r>
    </w:p>
    <w:p>
      <w:pPr>
        <w:pStyle w:val="BodyText"/>
      </w:pPr>
      <w:r>
        <w:t xml:space="preserve">For context, the comparison base is not easy: Q2 2025 delivered 12.1% total revenue growth (7.3% organic), one of the company's highest-ever quarterly gross margins (53.8%), and adjusted EPS of</w:t>
      </w:r>
      <w:r>
        <w:t xml:space="preserve"> </w:t>
      </w:r>
      <m:oMath>
        <m:r>
          <m:t>0.30</m:t>
        </m:r>
        <m:r>
          <m:rPr>
            <m:sty m:val="p"/>
          </m:rPr>
          <m:t>(</m:t>
        </m:r>
        <m:r>
          <m:rPr>
            <m:sty m:val="p"/>
          </m:rPr>
          <m:t>+</m:t>
        </m:r>
        <m:r>
          <m:t>11.1</m:t>
        </m:r>
      </m:oMath>
      <w:r>
        <w:t xml:space="preserve">6M legacy auto-claims reserve charge, so the insurance/claims issue is not new, just persistent.</w:t>
      </w:r>
    </w:p>
    <w:bookmarkEnd w:id="11"/>
    <w:bookmarkStart w:id="12" w:name="key-things-to-watch-in-the-print"/>
    <w:p>
      <w:pPr>
        <w:pStyle w:val="Heading2"/>
      </w:pPr>
      <w:r>
        <w:t xml:space="preserve">Key Things to Watch in the Print</w:t>
      </w:r>
    </w:p>
    <w:p>
      <w:pPr>
        <w:pStyle w:val="FirstParagraph"/>
      </w:pPr>
      <w:r>
        <w:rPr>
          <w:b/>
          <w:bCs/>
        </w:rPr>
        <w:t xml:space="preserve">1. Organic growth cadence — did the March acceleration hold?</w:t>
      </w:r>
      <w:r>
        <w:t xml:space="preserve"> </w:t>
      </w:r>
      <w:r>
        <w:t xml:space="preserve">Q1 organic growth of 6.6% was below the full-year 7-8% target, with management explicitly attributing the shortfall to a slow January and pointing to an 8%+ organic exit rate in March as evidence of underlying strength. Q2 is peak season and the single most important quarter for validating that the deceleration was weather noise rather than demand erosion. Investors will parse residential, commercial, and termite/ancillary organic growth rates individually — in Q1, residential organic growth (4.2%) badly lagged commercial (7.7%) and termite/ancillary (9.8%), and a snap-back in residential is the swing factor for hitting full-year guidance.</w:t>
      </w:r>
    </w:p>
    <w:p>
      <w:pPr>
        <w:pStyle w:val="BodyText"/>
      </w:pPr>
      <w:r>
        <w:rPr>
          <w:b/>
          <w:bCs/>
        </w:rPr>
        <w:t xml:space="preserve">2. Margin inflection — the crux of the bear case</w:t>
      </w:r>
      <w:r>
        <w:t xml:space="preserve"> </w:t>
      </w:r>
      <w:r>
        <w:t xml:space="preserve">Management guided explicitly that Q1 was the seasonal margin trough and that gross/EBITDA margins should improve sequentially in Q2 and Q3 as (a) the fleet vehicle-gains headwind fades and (b) volume leverage returns on the payroll base carried into peak season. The stated full-year incremental margin target remains 25-30% (with a longer-term ambition of 30-35%), but Q1 delivered incrementals in only the high single digits before adjustments. A credible step-up here is probably the single most important data point for the stock, given Bernstein's downgrade thesis rests on skepticism that this target is achievable.</w:t>
      </w:r>
    </w:p>
    <w:p>
      <w:pPr>
        <w:pStyle w:val="BodyText"/>
      </w:pPr>
      <w:r>
        <w:rPr>
          <w:b/>
          <w:bCs/>
        </w:rPr>
        <w:t xml:space="preserve">3. Insurance &amp; claims costs</w:t>
      </w:r>
      <w:r>
        <w:t xml:space="preserve"> </w:t>
      </w:r>
      <w:r>
        <w:t xml:space="preserve">This line has been a drag for multiple quarters, running at 3.7% of sales in Q1 2026 versus 2.9% for full-year 2025 and 3.2% in 2024 — a worsening trend that management has called difficult to predict given multi-year claim "maturation." Any signs of moderation (as guided for H2) versus another adverse reserve development would meaningfully move the margin narrative.</w:t>
      </w:r>
    </w:p>
    <w:p>
      <w:pPr>
        <w:pStyle w:val="BodyText"/>
      </w:pPr>
      <w:r>
        <w:rPr>
          <w:b/>
          <w:bCs/>
        </w:rPr>
        <w:t xml:space="preserve">4. First full quarter under new CFO William Harkins</w:t>
      </w:r>
      <w:r>
        <w:t xml:space="preserve"> </w:t>
      </w:r>
      <w:r>
        <w:t xml:space="preserve">This is Harkins' first earnings call as CFO after Krause's June 15 departure. Continuity of messaging on guidance, capital allocation, and the margin algorithm — versus any subtle recalibration — will be closely watched, especially after Bernstein's downgrade cited leadership uncertainty as a risk to execution.</w:t>
      </w:r>
    </w:p>
    <w:p>
      <w:pPr>
        <w:pStyle w:val="BodyText"/>
      </w:pPr>
      <w:r>
        <w:rPr>
          <w:b/>
          <w:bCs/>
        </w:rPr>
        <w:t xml:space="preserve">5. M&amp;A pace and Romex integration</w:t>
      </w:r>
      <w:r>
        <w:t xml:space="preserve"> </w:t>
      </w:r>
      <w:r>
        <w:t xml:space="preserve">Rollins closed the Romex acquisition (a top-40 pest control company) in April, adding to Q1's $18M of tuck-in M&amp;A. Full-year M&amp;A is guided to contribute 2-3% to revenue (versus 3.6% in Q1, expected to moderate). Commentary on the acquisition pipeline and Romex/Saela integration will matter for the growth algorithm.</w:t>
      </w:r>
    </w:p>
    <w:p>
      <w:pPr>
        <w:pStyle w:val="BodyText"/>
      </w:pPr>
      <w:r>
        <w:rPr>
          <w:b/>
          <w:bCs/>
        </w:rPr>
        <w:t xml:space="preserve">6. Free cash flow reversal</w:t>
      </w:r>
      <w:r>
        <w:t xml:space="preserve"> </w:t>
      </w:r>
      <w:r>
        <w:t xml:space="preserve">Q1 FCF fell 20.6% y/y on one-time tax-payment timing and the new semi-annual note interest schedule; management guided that these headwinds reverse through the year with a still-targeted mid-teens percentage FCF growth rate and &gt;100% conversion for 2026. Q2 should show the first signs of that reversal.</w:t>
      </w:r>
    </w:p>
    <w:bookmarkEnd w:id="12"/>
    <w:bookmarkStart w:id="13" w:name="bottom-line"/>
    <w:p>
      <w:pPr>
        <w:pStyle w:val="Heading2"/>
      </w:pPr>
      <w:r>
        <w:t xml:space="preserve">Bottom Line</w:t>
      </w:r>
    </w:p>
    <w:p>
      <w:pPr>
        <w:pStyle w:val="FirstParagraph"/>
      </w:pPr>
      <w:r>
        <w:t xml:space="preserve">Rollins heads into this print as a high-quality, historically consistent compounder (25 years of revenue/EBITDA growth, nearly 100 consecutive quarters of revenue gains) trading at a meaningfully de-rated multiple after a ~30%+ drawdown driven by margin disappointment, an unsettling CFO exit, and skepticism about medium-term margin targets reaffirmed just two months ago at Investor Day. Consensus still expects solid headline growth (~9.8% revenue, ~13% EPS growth) tomorrow, but the market's real focus will be on whether</w:t>
      </w:r>
      <w:r>
        <w:t xml:space="preserve"> </w:t>
      </w:r>
      <w:r>
        <w:rPr>
          <w:b/>
          <w:bCs/>
        </w:rPr>
        <w:t xml:space="preserve">organic growth reaccelerated toward the 7-8% full-year target</w:t>
      </w:r>
      <w:r>
        <w:t xml:space="preserve"> </w:t>
      </w:r>
      <w:r>
        <w:t xml:space="preserve">and whether</w:t>
      </w:r>
      <w:r>
        <w:t xml:space="preserve"> </w:t>
      </w:r>
      <w:r>
        <w:rPr>
          <w:b/>
          <w:bCs/>
        </w:rPr>
        <w:t xml:space="preserve">margins actually inflected as guided</w:t>
      </w:r>
      <w:r>
        <w:t xml:space="preserve"> </w:t>
      </w:r>
      <w:r>
        <w:t xml:space="preserve">— the two variables that will determine whether this quarter marks a bottoming point or confirms the bears' concerns about execution under new financial leadership.</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2026-07-22T01:06:46Z</dcterms:created>
  <dcterms:modified xsi:type="dcterms:W3CDTF">2026-07-22T01:06:46Z</dcterms:modified>
</cp:coreProperties>
</file>

<file path=docProps/custom.xml><?xml version="1.0" encoding="utf-8"?>
<Properties xmlns="http://schemas.openxmlformats.org/officeDocument/2006/custom-properties" xmlns:vt="http://schemas.openxmlformats.org/officeDocument/2006/docPropsVTypes"/>
</file>