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l-earnings-predictions--2026-07-22"/>
    <w:p>
      <w:pPr>
        <w:pStyle w:val="Heading1"/>
      </w:pPr>
      <w:r>
        <w:t xml:space="preserve">ROL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~$1.102B vs. cons $1.095B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~$251M vs. cons $248M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~$0.35 vs. cons $0.34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~7.0%-8.0% vs. cons 7.3%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Acquisition revenue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~2.0%-3.0% vs. cons 2.7%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~25%-30% vs. cons 27.5%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+1.7% (FADE)</w:t>
            </w:r>
          </w:p>
        </w:tc>
        <w:tc>
          <w:tcPr/>
          <w:p>
            <w:pPr>
              <w:pStyle w:val="Compact"/>
            </w:pPr>
            <w:r>
              <w:t xml:space="preserve">A ~$0.35 EPS result vs. $0.34 consensus should support the initial reaction, but an estimated ~22.8% EBITDA margin vs. 23.1% last year and unchanged ~25%-30% FY2026 incremental-margin commentary should limit out-period estimate revisions and produce a partial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2026-07-22T01:06:14Z</dcterms:created>
  <dcterms:modified xsi:type="dcterms:W3CDTF">2026-07-22T01:06:14Z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